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C5EE6" w14:textId="77777777" w:rsidR="0045322B" w:rsidRDefault="0045322B" w:rsidP="0083505C">
      <w:pPr>
        <w:spacing w:after="0" w:line="360" w:lineRule="auto"/>
        <w:contextualSpacing/>
        <w:jc w:val="both"/>
      </w:pPr>
    </w:p>
    <w:p w14:paraId="561D5737" w14:textId="77777777" w:rsidR="0045322B" w:rsidRDefault="0045322B" w:rsidP="0083505C">
      <w:pPr>
        <w:spacing w:after="0" w:line="360" w:lineRule="auto"/>
        <w:contextualSpacing/>
        <w:jc w:val="both"/>
      </w:pPr>
    </w:p>
    <w:p w14:paraId="42531629" w14:textId="77777777" w:rsidR="0045322B" w:rsidRDefault="0045322B" w:rsidP="0083505C">
      <w:pPr>
        <w:spacing w:after="0" w:line="360" w:lineRule="auto"/>
        <w:contextualSpacing/>
        <w:jc w:val="both"/>
      </w:pPr>
    </w:p>
    <w:p w14:paraId="0EEB5847" w14:textId="77777777" w:rsidR="0045322B" w:rsidRDefault="0045322B" w:rsidP="0083505C">
      <w:pPr>
        <w:pStyle w:val="paragraph"/>
        <w:spacing w:before="0" w:beforeAutospacing="0" w:after="0" w:afterAutospacing="0" w:line="360" w:lineRule="auto"/>
        <w:contextualSpacing/>
        <w:jc w:val="both"/>
        <w:textAlignment w:val="baseline"/>
        <w:rPr>
          <w:rStyle w:val="normaltextrun"/>
          <w:rFonts w:ascii="Calibri" w:eastAsiaTheme="majorEastAsia" w:hAnsi="Calibri" w:cs="Calibri"/>
          <w:b/>
          <w:bCs/>
          <w:color w:val="0070C0"/>
          <w:sz w:val="40"/>
          <w:szCs w:val="40"/>
          <w:lang w:val="it-IT"/>
        </w:rPr>
      </w:pPr>
    </w:p>
    <w:p w14:paraId="0838FBDF" w14:textId="77777777" w:rsidR="0045322B" w:rsidRDefault="0045322B" w:rsidP="0083505C">
      <w:pPr>
        <w:pStyle w:val="paragraph"/>
        <w:spacing w:before="0" w:beforeAutospacing="0" w:after="0" w:afterAutospacing="0" w:line="360" w:lineRule="auto"/>
        <w:contextualSpacing/>
        <w:jc w:val="both"/>
        <w:textAlignment w:val="baseline"/>
        <w:rPr>
          <w:rStyle w:val="normaltextrun"/>
          <w:rFonts w:ascii="Calibri" w:eastAsiaTheme="majorEastAsia" w:hAnsi="Calibri" w:cs="Calibri"/>
          <w:b/>
          <w:bCs/>
          <w:color w:val="0070C0"/>
          <w:sz w:val="40"/>
          <w:szCs w:val="40"/>
          <w:lang w:val="it-IT"/>
        </w:rPr>
      </w:pPr>
    </w:p>
    <w:p w14:paraId="451CEF6E" w14:textId="77777777" w:rsidR="00517FD8" w:rsidRPr="00517FD8" w:rsidRDefault="00517FD8" w:rsidP="00517FD8">
      <w:pPr>
        <w:spacing w:after="0" w:line="360" w:lineRule="auto"/>
        <w:contextualSpacing/>
        <w:jc w:val="center"/>
        <w:rPr>
          <w:rFonts w:ascii="Calibri" w:eastAsiaTheme="majorEastAsia" w:hAnsi="Calibri" w:cs="Calibri"/>
          <w:b/>
          <w:bCs/>
          <w:color w:val="0070C0"/>
          <w:kern w:val="0"/>
          <w:sz w:val="44"/>
          <w:szCs w:val="44"/>
          <w:lang w:eastAsia="fr-FR"/>
          <w14:ligatures w14:val="none"/>
        </w:rPr>
      </w:pPr>
      <w:r w:rsidRPr="00517FD8">
        <w:rPr>
          <w:rFonts w:ascii="Calibri" w:eastAsiaTheme="majorEastAsia" w:hAnsi="Calibri" w:cs="Calibri"/>
          <w:b/>
          <w:bCs/>
          <w:color w:val="0070C0"/>
          <w:kern w:val="0"/>
          <w:sz w:val="44"/>
          <w:szCs w:val="44"/>
          <w:lang w:eastAsia="fr-FR"/>
          <w14:ligatures w14:val="none"/>
        </w:rPr>
        <w:t>Parcours de montée en compétences pour les demandeurs d’emploi</w:t>
      </w:r>
    </w:p>
    <w:p w14:paraId="021A25BB" w14:textId="77777777" w:rsidR="00517FD8" w:rsidRPr="00517FD8" w:rsidRDefault="00517FD8" w:rsidP="00517FD8">
      <w:pPr>
        <w:spacing w:after="0" w:line="360" w:lineRule="auto"/>
        <w:contextualSpacing/>
        <w:jc w:val="center"/>
        <w:rPr>
          <w:rFonts w:ascii="Calibri" w:eastAsiaTheme="majorEastAsia" w:hAnsi="Calibri" w:cs="Calibri"/>
          <w:b/>
          <w:bCs/>
          <w:color w:val="0070C0"/>
          <w:kern w:val="0"/>
          <w:sz w:val="44"/>
          <w:szCs w:val="44"/>
          <w:lang w:eastAsia="fr-FR"/>
          <w14:ligatures w14:val="none"/>
        </w:rPr>
      </w:pPr>
      <w:r w:rsidRPr="00517FD8">
        <w:rPr>
          <w:rFonts w:ascii="Calibri" w:eastAsiaTheme="majorEastAsia" w:hAnsi="Calibri" w:cs="Calibri"/>
          <w:b/>
          <w:bCs/>
          <w:color w:val="0070C0"/>
          <w:kern w:val="0"/>
          <w:sz w:val="44"/>
          <w:szCs w:val="44"/>
          <w:lang w:eastAsia="fr-FR"/>
          <w14:ligatures w14:val="none"/>
        </w:rPr>
        <w:t>par la mobilité transnationale / interrégionale</w:t>
      </w:r>
    </w:p>
    <w:p w14:paraId="40263772" w14:textId="77777777" w:rsidR="00517FD8" w:rsidRPr="00517FD8" w:rsidRDefault="00517FD8" w:rsidP="00517FD8">
      <w:pPr>
        <w:spacing w:after="0" w:line="360" w:lineRule="auto"/>
        <w:contextualSpacing/>
        <w:jc w:val="center"/>
        <w:rPr>
          <w:rFonts w:ascii="Calibri" w:eastAsiaTheme="majorEastAsia" w:hAnsi="Calibri" w:cs="Calibri"/>
          <w:b/>
          <w:bCs/>
          <w:color w:val="0070C0"/>
          <w:kern w:val="0"/>
          <w:sz w:val="44"/>
          <w:szCs w:val="44"/>
          <w:lang w:eastAsia="fr-FR"/>
          <w14:ligatures w14:val="none"/>
        </w:rPr>
      </w:pPr>
      <w:r w:rsidRPr="00517FD8">
        <w:rPr>
          <w:rFonts w:ascii="Calibri" w:eastAsiaTheme="majorEastAsia" w:hAnsi="Calibri" w:cs="Calibri"/>
          <w:b/>
          <w:bCs/>
          <w:color w:val="0070C0"/>
          <w:kern w:val="0"/>
          <w:sz w:val="44"/>
          <w:szCs w:val="44"/>
          <w:lang w:eastAsia="fr-FR"/>
          <w14:ligatures w14:val="none"/>
        </w:rPr>
        <w:t>Activité 2.3</w:t>
      </w:r>
    </w:p>
    <w:p w14:paraId="1529F952" w14:textId="77777777" w:rsidR="00517FD8" w:rsidRPr="00517FD8" w:rsidRDefault="00517FD8" w:rsidP="00517FD8">
      <w:pPr>
        <w:spacing w:after="0" w:line="360" w:lineRule="auto"/>
        <w:contextualSpacing/>
        <w:jc w:val="center"/>
        <w:rPr>
          <w:rFonts w:ascii="Calibri" w:eastAsiaTheme="majorEastAsia" w:hAnsi="Calibri" w:cs="Calibri"/>
          <w:b/>
          <w:bCs/>
          <w:color w:val="0070C0"/>
          <w:kern w:val="0"/>
          <w:sz w:val="40"/>
          <w:szCs w:val="40"/>
          <w:lang w:eastAsia="fr-FR"/>
          <w14:ligatures w14:val="none"/>
        </w:rPr>
      </w:pPr>
      <w:r w:rsidRPr="00517FD8">
        <w:rPr>
          <w:rFonts w:ascii="Calibri" w:eastAsiaTheme="majorEastAsia" w:hAnsi="Calibri" w:cs="Calibri"/>
          <w:b/>
          <w:bCs/>
          <w:color w:val="0070C0"/>
          <w:kern w:val="0"/>
          <w:sz w:val="40"/>
          <w:szCs w:val="40"/>
          <w:lang w:eastAsia="fr-FR"/>
          <w14:ligatures w14:val="none"/>
        </w:rPr>
        <w:t>APPEL À CANDIDATURES</w:t>
      </w:r>
    </w:p>
    <w:p w14:paraId="064E6E4C" w14:textId="77777777" w:rsidR="00517FD8" w:rsidRPr="00517FD8" w:rsidRDefault="00517FD8" w:rsidP="00517FD8">
      <w:pPr>
        <w:spacing w:after="0" w:line="360" w:lineRule="auto"/>
        <w:contextualSpacing/>
        <w:jc w:val="center"/>
        <w:rPr>
          <w:rFonts w:ascii="Calibri" w:eastAsiaTheme="majorEastAsia" w:hAnsi="Calibri" w:cs="Calibri"/>
          <w:color w:val="0070C0"/>
          <w:kern w:val="0"/>
          <w:sz w:val="40"/>
          <w:szCs w:val="40"/>
          <w:lang w:eastAsia="fr-FR"/>
          <w14:ligatures w14:val="none"/>
        </w:rPr>
      </w:pPr>
      <w:r w:rsidRPr="00517FD8">
        <w:rPr>
          <w:rFonts w:ascii="Calibri" w:eastAsiaTheme="majorEastAsia" w:hAnsi="Calibri" w:cs="Calibri"/>
          <w:color w:val="0070C0"/>
          <w:kern w:val="0"/>
          <w:sz w:val="40"/>
          <w:szCs w:val="40"/>
          <w:lang w:eastAsia="fr-FR"/>
          <w14:ligatures w14:val="none"/>
        </w:rPr>
        <w:t>Sélection des candidats pour la mobilité transfrontalière / interrégionale – DEVELOP</w:t>
      </w:r>
    </w:p>
    <w:p w14:paraId="162C7642" w14:textId="77777777" w:rsidR="0045322B" w:rsidRPr="000108B5" w:rsidRDefault="0045322B" w:rsidP="0083505C">
      <w:pPr>
        <w:spacing w:after="0" w:line="360" w:lineRule="auto"/>
        <w:contextualSpacing/>
        <w:jc w:val="both"/>
      </w:pPr>
    </w:p>
    <w:p w14:paraId="3C9DE59F" w14:textId="77777777" w:rsidR="0045322B" w:rsidRPr="000108B5" w:rsidRDefault="0045322B" w:rsidP="0083505C">
      <w:pPr>
        <w:spacing w:after="0" w:line="360" w:lineRule="auto"/>
        <w:contextualSpacing/>
        <w:jc w:val="both"/>
      </w:pPr>
    </w:p>
    <w:p w14:paraId="6C31C281" w14:textId="77777777" w:rsidR="0045322B" w:rsidRPr="000108B5" w:rsidRDefault="0045322B" w:rsidP="0083505C">
      <w:pPr>
        <w:spacing w:after="0" w:line="360" w:lineRule="auto"/>
        <w:contextualSpacing/>
        <w:jc w:val="both"/>
      </w:pPr>
    </w:p>
    <w:p w14:paraId="2FBA70B8" w14:textId="77777777" w:rsidR="0045322B" w:rsidRPr="000108B5" w:rsidRDefault="0045322B" w:rsidP="0083505C">
      <w:pPr>
        <w:spacing w:after="0" w:line="360" w:lineRule="auto"/>
        <w:contextualSpacing/>
        <w:jc w:val="both"/>
      </w:pPr>
    </w:p>
    <w:p w14:paraId="2640DF23" w14:textId="77777777" w:rsidR="0045322B" w:rsidRPr="000108B5" w:rsidRDefault="0045322B" w:rsidP="0083505C">
      <w:pPr>
        <w:spacing w:after="0" w:line="360" w:lineRule="auto"/>
        <w:contextualSpacing/>
        <w:jc w:val="both"/>
      </w:pPr>
    </w:p>
    <w:p w14:paraId="6C3366A6" w14:textId="77777777" w:rsidR="0045322B" w:rsidRPr="000108B5" w:rsidRDefault="0045322B" w:rsidP="0083505C">
      <w:pPr>
        <w:spacing w:after="0" w:line="360" w:lineRule="auto"/>
        <w:contextualSpacing/>
        <w:jc w:val="both"/>
      </w:pPr>
    </w:p>
    <w:p w14:paraId="136215E0" w14:textId="77777777" w:rsidR="0045322B" w:rsidRPr="000108B5" w:rsidRDefault="0045322B" w:rsidP="0083505C">
      <w:pPr>
        <w:spacing w:after="0" w:line="360" w:lineRule="auto"/>
        <w:contextualSpacing/>
        <w:jc w:val="both"/>
      </w:pPr>
    </w:p>
    <w:p w14:paraId="28DC283C" w14:textId="77777777" w:rsidR="0045322B" w:rsidRPr="000108B5" w:rsidRDefault="0045322B" w:rsidP="0083505C">
      <w:pPr>
        <w:spacing w:after="0" w:line="360" w:lineRule="auto"/>
        <w:contextualSpacing/>
        <w:jc w:val="both"/>
      </w:pPr>
    </w:p>
    <w:p w14:paraId="24D233DD" w14:textId="77777777" w:rsidR="0045322B" w:rsidRPr="000108B5" w:rsidRDefault="0045322B" w:rsidP="0083505C">
      <w:pPr>
        <w:spacing w:after="0" w:line="360" w:lineRule="auto"/>
        <w:contextualSpacing/>
        <w:jc w:val="both"/>
      </w:pPr>
    </w:p>
    <w:p w14:paraId="72CFE599" w14:textId="77777777" w:rsidR="0045322B" w:rsidRPr="000108B5" w:rsidRDefault="0045322B" w:rsidP="0083505C">
      <w:pPr>
        <w:spacing w:after="0" w:line="360" w:lineRule="auto"/>
        <w:contextualSpacing/>
        <w:jc w:val="both"/>
      </w:pPr>
    </w:p>
    <w:p w14:paraId="4533DEE9" w14:textId="77777777" w:rsidR="0045322B" w:rsidRPr="000108B5" w:rsidRDefault="0045322B" w:rsidP="0083505C">
      <w:pPr>
        <w:spacing w:after="0" w:line="360" w:lineRule="auto"/>
        <w:contextualSpacing/>
        <w:jc w:val="both"/>
      </w:pPr>
    </w:p>
    <w:p w14:paraId="57786E77" w14:textId="77777777" w:rsidR="0045322B" w:rsidRPr="000108B5" w:rsidRDefault="0045322B" w:rsidP="0083505C">
      <w:pPr>
        <w:spacing w:after="0" w:line="360" w:lineRule="auto"/>
        <w:contextualSpacing/>
        <w:jc w:val="both"/>
      </w:pPr>
    </w:p>
    <w:p w14:paraId="04BECA60" w14:textId="26666A7E" w:rsidR="00561847" w:rsidRPr="000108B5" w:rsidRDefault="00561847" w:rsidP="0083505C">
      <w:pPr>
        <w:spacing w:after="0" w:line="360" w:lineRule="auto"/>
        <w:contextualSpacing/>
        <w:jc w:val="both"/>
      </w:pPr>
    </w:p>
    <w:sdt>
      <w:sdtPr>
        <w:rPr>
          <w:rFonts w:asciiTheme="minorHAnsi" w:eastAsiaTheme="minorHAnsi" w:hAnsiTheme="minorHAnsi" w:cstheme="minorBidi"/>
          <w:color w:val="auto"/>
          <w:kern w:val="2"/>
          <w:sz w:val="24"/>
          <w:szCs w:val="24"/>
          <w:lang w:eastAsia="en-US"/>
          <w14:ligatures w14:val="standardContextual"/>
        </w:rPr>
        <w:id w:val="-354809150"/>
        <w:docPartObj>
          <w:docPartGallery w:val="Table of Contents"/>
          <w:docPartUnique/>
        </w:docPartObj>
      </w:sdtPr>
      <w:sdtEndPr>
        <w:rPr>
          <w:rFonts w:eastAsiaTheme="minorEastAsia"/>
          <w:b/>
          <w:bCs/>
        </w:rPr>
      </w:sdtEndPr>
      <w:sdtContent>
        <w:p w14:paraId="37C4301E" w14:textId="0CA37288" w:rsidR="00FF1573" w:rsidRDefault="00FF1573">
          <w:pPr>
            <w:pStyle w:val="En-ttedetabledesmatires"/>
          </w:pPr>
          <w:r>
            <w:t>Table des matières</w:t>
          </w:r>
        </w:p>
        <w:p w14:paraId="345D47BD" w14:textId="76BA829A" w:rsidR="00517FD8" w:rsidRDefault="00FF1573" w:rsidP="00A94C11">
          <w:pPr>
            <w:pStyle w:val="TM1"/>
            <w:rPr>
              <w:rFonts w:eastAsiaTheme="minorEastAsia"/>
              <w:lang w:eastAsia="fr-FR"/>
            </w:rPr>
          </w:pPr>
          <w:r>
            <w:fldChar w:fldCharType="begin"/>
          </w:r>
          <w:r>
            <w:instrText xml:space="preserve"> TOC \o "1-3" \h \z \u </w:instrText>
          </w:r>
          <w:r>
            <w:fldChar w:fldCharType="separate"/>
          </w:r>
          <w:hyperlink w:anchor="_Toc227244581" w:history="1">
            <w:r w:rsidR="00517FD8" w:rsidRPr="003A1100">
              <w:rPr>
                <w:rStyle w:val="Lienhypertexte"/>
              </w:rPr>
              <w:t>ARTICLE 1 – Objet de l’appel à candidatures</w:t>
            </w:r>
            <w:r w:rsidR="00517FD8">
              <w:rPr>
                <w:webHidden/>
              </w:rPr>
              <w:tab/>
            </w:r>
            <w:r w:rsidR="00517FD8">
              <w:rPr>
                <w:webHidden/>
              </w:rPr>
              <w:fldChar w:fldCharType="begin"/>
            </w:r>
            <w:r w:rsidR="00517FD8">
              <w:rPr>
                <w:webHidden/>
              </w:rPr>
              <w:instrText xml:space="preserve"> PAGEREF _Toc227244581 \h </w:instrText>
            </w:r>
            <w:r w:rsidR="00517FD8">
              <w:rPr>
                <w:webHidden/>
              </w:rPr>
            </w:r>
            <w:r w:rsidR="00517FD8">
              <w:rPr>
                <w:webHidden/>
              </w:rPr>
              <w:fldChar w:fldCharType="separate"/>
            </w:r>
            <w:r w:rsidR="00517FD8">
              <w:rPr>
                <w:webHidden/>
              </w:rPr>
              <w:t>4</w:t>
            </w:r>
            <w:r w:rsidR="00517FD8">
              <w:rPr>
                <w:webHidden/>
              </w:rPr>
              <w:fldChar w:fldCharType="end"/>
            </w:r>
          </w:hyperlink>
        </w:p>
        <w:p w14:paraId="7995DBEC" w14:textId="3B9E0D65" w:rsidR="00517FD8" w:rsidRDefault="00517FD8" w:rsidP="00A94C11">
          <w:pPr>
            <w:pStyle w:val="TM1"/>
            <w:rPr>
              <w:rFonts w:eastAsiaTheme="minorEastAsia"/>
              <w:lang w:eastAsia="fr-FR"/>
            </w:rPr>
          </w:pPr>
          <w:hyperlink w:anchor="_Toc227244582" w:history="1">
            <w:r w:rsidRPr="003A1100">
              <w:rPr>
                <w:rStyle w:val="Lienhypertexte"/>
              </w:rPr>
              <w:t>ARTICLE 2 – Conditions d’éligibilité</w:t>
            </w:r>
            <w:r>
              <w:rPr>
                <w:webHidden/>
              </w:rPr>
              <w:tab/>
            </w:r>
            <w:r>
              <w:rPr>
                <w:webHidden/>
              </w:rPr>
              <w:fldChar w:fldCharType="begin"/>
            </w:r>
            <w:r>
              <w:rPr>
                <w:webHidden/>
              </w:rPr>
              <w:instrText xml:space="preserve"> PAGEREF _Toc227244582 \h </w:instrText>
            </w:r>
            <w:r>
              <w:rPr>
                <w:webHidden/>
              </w:rPr>
            </w:r>
            <w:r>
              <w:rPr>
                <w:webHidden/>
              </w:rPr>
              <w:fldChar w:fldCharType="separate"/>
            </w:r>
            <w:r>
              <w:rPr>
                <w:webHidden/>
              </w:rPr>
              <w:t>4</w:t>
            </w:r>
            <w:r>
              <w:rPr>
                <w:webHidden/>
              </w:rPr>
              <w:fldChar w:fldCharType="end"/>
            </w:r>
          </w:hyperlink>
        </w:p>
        <w:p w14:paraId="0522EAC5" w14:textId="4DD22F2A" w:rsidR="00517FD8" w:rsidRDefault="00517FD8" w:rsidP="00A94C11">
          <w:pPr>
            <w:pStyle w:val="TM1"/>
            <w:rPr>
              <w:rFonts w:eastAsiaTheme="minorEastAsia"/>
              <w:lang w:eastAsia="fr-FR"/>
            </w:rPr>
          </w:pPr>
          <w:hyperlink w:anchor="_Toc227244583" w:history="1">
            <w:r w:rsidRPr="003A1100">
              <w:rPr>
                <w:rStyle w:val="Lienhypertexte"/>
              </w:rPr>
              <w:t>ARTICLE 3 – Domaines d’activité et filières prioritaires</w:t>
            </w:r>
            <w:r>
              <w:rPr>
                <w:webHidden/>
              </w:rPr>
              <w:tab/>
            </w:r>
            <w:r>
              <w:rPr>
                <w:webHidden/>
              </w:rPr>
              <w:fldChar w:fldCharType="begin"/>
            </w:r>
            <w:r>
              <w:rPr>
                <w:webHidden/>
              </w:rPr>
              <w:instrText xml:space="preserve"> PAGEREF _Toc227244583 \h </w:instrText>
            </w:r>
            <w:r>
              <w:rPr>
                <w:webHidden/>
              </w:rPr>
            </w:r>
            <w:r>
              <w:rPr>
                <w:webHidden/>
              </w:rPr>
              <w:fldChar w:fldCharType="separate"/>
            </w:r>
            <w:r>
              <w:rPr>
                <w:webHidden/>
              </w:rPr>
              <w:t>5</w:t>
            </w:r>
            <w:r>
              <w:rPr>
                <w:webHidden/>
              </w:rPr>
              <w:fldChar w:fldCharType="end"/>
            </w:r>
          </w:hyperlink>
        </w:p>
        <w:p w14:paraId="279528C3" w14:textId="1FB2EEF7" w:rsidR="00517FD8" w:rsidRDefault="00517FD8" w:rsidP="00A94C11">
          <w:pPr>
            <w:pStyle w:val="TM1"/>
            <w:rPr>
              <w:rFonts w:eastAsiaTheme="minorEastAsia"/>
              <w:lang w:eastAsia="fr-FR"/>
            </w:rPr>
          </w:pPr>
          <w:hyperlink w:anchor="_Toc227244584" w:history="1">
            <w:r w:rsidRPr="003A1100">
              <w:rPr>
                <w:rStyle w:val="Lienhypertexte"/>
              </w:rPr>
              <w:t>ARTICLE 4 – Documents, modalités et délai de dépôt de la candidature</w:t>
            </w:r>
            <w:r>
              <w:rPr>
                <w:webHidden/>
              </w:rPr>
              <w:tab/>
            </w:r>
            <w:r>
              <w:rPr>
                <w:webHidden/>
              </w:rPr>
              <w:fldChar w:fldCharType="begin"/>
            </w:r>
            <w:r>
              <w:rPr>
                <w:webHidden/>
              </w:rPr>
              <w:instrText xml:space="preserve"> PAGEREF _Toc227244584 \h </w:instrText>
            </w:r>
            <w:r>
              <w:rPr>
                <w:webHidden/>
              </w:rPr>
            </w:r>
            <w:r>
              <w:rPr>
                <w:webHidden/>
              </w:rPr>
              <w:fldChar w:fldCharType="separate"/>
            </w:r>
            <w:r>
              <w:rPr>
                <w:webHidden/>
              </w:rPr>
              <w:t>6</w:t>
            </w:r>
            <w:r>
              <w:rPr>
                <w:webHidden/>
              </w:rPr>
              <w:fldChar w:fldCharType="end"/>
            </w:r>
          </w:hyperlink>
        </w:p>
        <w:p w14:paraId="2049863A" w14:textId="6D55D25A" w:rsidR="00517FD8" w:rsidRDefault="00517FD8">
          <w:pPr>
            <w:pStyle w:val="TM2"/>
            <w:tabs>
              <w:tab w:val="right" w:leader="dot" w:pos="9062"/>
            </w:tabs>
            <w:rPr>
              <w:rFonts w:eastAsiaTheme="minorEastAsia"/>
              <w:noProof/>
              <w:lang w:eastAsia="fr-FR"/>
            </w:rPr>
          </w:pPr>
          <w:hyperlink w:anchor="_Toc227244585" w:history="1">
            <w:r w:rsidRPr="003A1100">
              <w:rPr>
                <w:rStyle w:val="Lienhypertexte"/>
                <w:noProof/>
              </w:rPr>
              <w:t>4.1 – Documents requis</w:t>
            </w:r>
            <w:r>
              <w:rPr>
                <w:noProof/>
                <w:webHidden/>
              </w:rPr>
              <w:tab/>
            </w:r>
            <w:r>
              <w:rPr>
                <w:noProof/>
                <w:webHidden/>
              </w:rPr>
              <w:fldChar w:fldCharType="begin"/>
            </w:r>
            <w:r>
              <w:rPr>
                <w:noProof/>
                <w:webHidden/>
              </w:rPr>
              <w:instrText xml:space="preserve"> PAGEREF _Toc227244585 \h </w:instrText>
            </w:r>
            <w:r>
              <w:rPr>
                <w:noProof/>
                <w:webHidden/>
              </w:rPr>
            </w:r>
            <w:r>
              <w:rPr>
                <w:noProof/>
                <w:webHidden/>
              </w:rPr>
              <w:fldChar w:fldCharType="separate"/>
            </w:r>
            <w:r>
              <w:rPr>
                <w:noProof/>
                <w:webHidden/>
              </w:rPr>
              <w:t>6</w:t>
            </w:r>
            <w:r>
              <w:rPr>
                <w:noProof/>
                <w:webHidden/>
              </w:rPr>
              <w:fldChar w:fldCharType="end"/>
            </w:r>
          </w:hyperlink>
        </w:p>
        <w:p w14:paraId="3FAF1A30" w14:textId="44DBB4B7" w:rsidR="00517FD8" w:rsidRDefault="00517FD8">
          <w:pPr>
            <w:pStyle w:val="TM2"/>
            <w:tabs>
              <w:tab w:val="right" w:leader="dot" w:pos="9062"/>
            </w:tabs>
            <w:rPr>
              <w:rFonts w:eastAsiaTheme="minorEastAsia"/>
              <w:noProof/>
              <w:lang w:eastAsia="fr-FR"/>
            </w:rPr>
          </w:pPr>
          <w:hyperlink w:anchor="_Toc227244586" w:history="1">
            <w:r w:rsidRPr="003A1100">
              <w:rPr>
                <w:rStyle w:val="Lienhypertexte"/>
                <w:noProof/>
              </w:rPr>
              <w:t>4.2 – Modalités et délai de dépôt</w:t>
            </w:r>
            <w:r>
              <w:rPr>
                <w:noProof/>
                <w:webHidden/>
              </w:rPr>
              <w:tab/>
            </w:r>
            <w:r>
              <w:rPr>
                <w:noProof/>
                <w:webHidden/>
              </w:rPr>
              <w:fldChar w:fldCharType="begin"/>
            </w:r>
            <w:r>
              <w:rPr>
                <w:noProof/>
                <w:webHidden/>
              </w:rPr>
              <w:instrText xml:space="preserve"> PAGEREF _Toc227244586 \h </w:instrText>
            </w:r>
            <w:r>
              <w:rPr>
                <w:noProof/>
                <w:webHidden/>
              </w:rPr>
            </w:r>
            <w:r>
              <w:rPr>
                <w:noProof/>
                <w:webHidden/>
              </w:rPr>
              <w:fldChar w:fldCharType="separate"/>
            </w:r>
            <w:r>
              <w:rPr>
                <w:noProof/>
                <w:webHidden/>
              </w:rPr>
              <w:t>7</w:t>
            </w:r>
            <w:r>
              <w:rPr>
                <w:noProof/>
                <w:webHidden/>
              </w:rPr>
              <w:fldChar w:fldCharType="end"/>
            </w:r>
          </w:hyperlink>
        </w:p>
        <w:p w14:paraId="3B8C8957" w14:textId="03A27C0B" w:rsidR="00517FD8" w:rsidRDefault="00517FD8" w:rsidP="00A94C11">
          <w:pPr>
            <w:pStyle w:val="TM1"/>
            <w:rPr>
              <w:rFonts w:eastAsiaTheme="minorEastAsia"/>
              <w:lang w:eastAsia="fr-FR"/>
            </w:rPr>
          </w:pPr>
          <w:hyperlink w:anchor="_Toc227244587" w:history="1">
            <w:r w:rsidRPr="003A1100">
              <w:rPr>
                <w:rStyle w:val="Lienhypertexte"/>
              </w:rPr>
              <w:t>ARTICLE 5 – Instruction administrative formelle des dossiers</w:t>
            </w:r>
            <w:r>
              <w:rPr>
                <w:webHidden/>
              </w:rPr>
              <w:tab/>
            </w:r>
            <w:r>
              <w:rPr>
                <w:webHidden/>
              </w:rPr>
              <w:fldChar w:fldCharType="begin"/>
            </w:r>
            <w:r>
              <w:rPr>
                <w:webHidden/>
              </w:rPr>
              <w:instrText xml:space="preserve"> PAGEREF _Toc227244587 \h </w:instrText>
            </w:r>
            <w:r>
              <w:rPr>
                <w:webHidden/>
              </w:rPr>
            </w:r>
            <w:r>
              <w:rPr>
                <w:webHidden/>
              </w:rPr>
              <w:fldChar w:fldCharType="separate"/>
            </w:r>
            <w:r>
              <w:rPr>
                <w:webHidden/>
              </w:rPr>
              <w:t>7</w:t>
            </w:r>
            <w:r>
              <w:rPr>
                <w:webHidden/>
              </w:rPr>
              <w:fldChar w:fldCharType="end"/>
            </w:r>
          </w:hyperlink>
        </w:p>
        <w:p w14:paraId="197DA9A5" w14:textId="638E116E" w:rsidR="00517FD8" w:rsidRDefault="00517FD8" w:rsidP="00A94C11">
          <w:pPr>
            <w:pStyle w:val="TM1"/>
            <w:rPr>
              <w:rFonts w:eastAsiaTheme="minorEastAsia"/>
              <w:lang w:eastAsia="fr-FR"/>
            </w:rPr>
          </w:pPr>
          <w:hyperlink w:anchor="_Toc227244588" w:history="1">
            <w:r w:rsidRPr="003A1100">
              <w:rPr>
                <w:rStyle w:val="Lienhypertexte"/>
              </w:rPr>
              <w:t>ARTICLE 6 – Procédure d’évaluation</w:t>
            </w:r>
            <w:r>
              <w:rPr>
                <w:webHidden/>
              </w:rPr>
              <w:tab/>
            </w:r>
            <w:r>
              <w:rPr>
                <w:webHidden/>
              </w:rPr>
              <w:fldChar w:fldCharType="begin"/>
            </w:r>
            <w:r>
              <w:rPr>
                <w:webHidden/>
              </w:rPr>
              <w:instrText xml:space="preserve"> PAGEREF _Toc227244588 \h </w:instrText>
            </w:r>
            <w:r>
              <w:rPr>
                <w:webHidden/>
              </w:rPr>
            </w:r>
            <w:r>
              <w:rPr>
                <w:webHidden/>
              </w:rPr>
              <w:fldChar w:fldCharType="separate"/>
            </w:r>
            <w:r>
              <w:rPr>
                <w:webHidden/>
              </w:rPr>
              <w:t>8</w:t>
            </w:r>
            <w:r>
              <w:rPr>
                <w:webHidden/>
              </w:rPr>
              <w:fldChar w:fldCharType="end"/>
            </w:r>
          </w:hyperlink>
        </w:p>
        <w:p w14:paraId="04E1ED05" w14:textId="0F1EBAE5" w:rsidR="00517FD8" w:rsidRDefault="00517FD8" w:rsidP="00A94C11">
          <w:pPr>
            <w:pStyle w:val="TM1"/>
            <w:rPr>
              <w:rFonts w:eastAsiaTheme="minorEastAsia"/>
              <w:lang w:eastAsia="fr-FR"/>
            </w:rPr>
          </w:pPr>
          <w:hyperlink w:anchor="_Toc227244589" w:history="1">
            <w:r w:rsidRPr="003A1100">
              <w:rPr>
                <w:rStyle w:val="Lienhypertexte"/>
              </w:rPr>
              <w:t>ARTICLE 7 – Modalités de versement de la bourse de mobilité</w:t>
            </w:r>
            <w:r>
              <w:rPr>
                <w:webHidden/>
              </w:rPr>
              <w:tab/>
            </w:r>
            <w:r>
              <w:rPr>
                <w:webHidden/>
              </w:rPr>
              <w:fldChar w:fldCharType="begin"/>
            </w:r>
            <w:r>
              <w:rPr>
                <w:webHidden/>
              </w:rPr>
              <w:instrText xml:space="preserve"> PAGEREF _Toc227244589 \h </w:instrText>
            </w:r>
            <w:r>
              <w:rPr>
                <w:webHidden/>
              </w:rPr>
            </w:r>
            <w:r>
              <w:rPr>
                <w:webHidden/>
              </w:rPr>
              <w:fldChar w:fldCharType="separate"/>
            </w:r>
            <w:r>
              <w:rPr>
                <w:webHidden/>
              </w:rPr>
              <w:t>10</w:t>
            </w:r>
            <w:r>
              <w:rPr>
                <w:webHidden/>
              </w:rPr>
              <w:fldChar w:fldCharType="end"/>
            </w:r>
          </w:hyperlink>
        </w:p>
        <w:p w14:paraId="6A4E96A1" w14:textId="48A9E249" w:rsidR="00517FD8" w:rsidRDefault="00517FD8" w:rsidP="00A94C11">
          <w:pPr>
            <w:pStyle w:val="TM1"/>
            <w:rPr>
              <w:rFonts w:eastAsiaTheme="minorEastAsia"/>
              <w:lang w:eastAsia="fr-FR"/>
            </w:rPr>
          </w:pPr>
          <w:hyperlink w:anchor="_Toc227244590" w:history="1">
            <w:r w:rsidRPr="003A1100">
              <w:rPr>
                <w:rStyle w:val="Lienhypertexte"/>
              </w:rPr>
              <w:t>ARTICLE 8 – Obligations des bénéficiaires</w:t>
            </w:r>
            <w:r>
              <w:rPr>
                <w:webHidden/>
              </w:rPr>
              <w:tab/>
            </w:r>
            <w:r>
              <w:rPr>
                <w:webHidden/>
              </w:rPr>
              <w:fldChar w:fldCharType="begin"/>
            </w:r>
            <w:r>
              <w:rPr>
                <w:webHidden/>
              </w:rPr>
              <w:instrText xml:space="preserve"> PAGEREF _Toc227244590 \h </w:instrText>
            </w:r>
            <w:r>
              <w:rPr>
                <w:webHidden/>
              </w:rPr>
            </w:r>
            <w:r>
              <w:rPr>
                <w:webHidden/>
              </w:rPr>
              <w:fldChar w:fldCharType="separate"/>
            </w:r>
            <w:r>
              <w:rPr>
                <w:webHidden/>
              </w:rPr>
              <w:t>11</w:t>
            </w:r>
            <w:r>
              <w:rPr>
                <w:webHidden/>
              </w:rPr>
              <w:fldChar w:fldCharType="end"/>
            </w:r>
          </w:hyperlink>
        </w:p>
        <w:p w14:paraId="63F59912" w14:textId="13F9F7F3" w:rsidR="00517FD8" w:rsidRDefault="00517FD8" w:rsidP="00A94C11">
          <w:pPr>
            <w:pStyle w:val="TM1"/>
            <w:rPr>
              <w:rFonts w:eastAsiaTheme="minorEastAsia"/>
              <w:lang w:eastAsia="fr-FR"/>
            </w:rPr>
          </w:pPr>
          <w:hyperlink w:anchor="_Toc227244591" w:history="1">
            <w:r w:rsidRPr="003A1100">
              <w:rPr>
                <w:rStyle w:val="Lienhypertexte"/>
              </w:rPr>
              <w:t>ARTICLE 9 – Traitement des données personnelles</w:t>
            </w:r>
            <w:r>
              <w:rPr>
                <w:webHidden/>
              </w:rPr>
              <w:tab/>
            </w:r>
            <w:r>
              <w:rPr>
                <w:webHidden/>
              </w:rPr>
              <w:fldChar w:fldCharType="begin"/>
            </w:r>
            <w:r>
              <w:rPr>
                <w:webHidden/>
              </w:rPr>
              <w:instrText xml:space="preserve"> PAGEREF _Toc227244591 \h </w:instrText>
            </w:r>
            <w:r>
              <w:rPr>
                <w:webHidden/>
              </w:rPr>
            </w:r>
            <w:r>
              <w:rPr>
                <w:webHidden/>
              </w:rPr>
              <w:fldChar w:fldCharType="separate"/>
            </w:r>
            <w:r>
              <w:rPr>
                <w:webHidden/>
              </w:rPr>
              <w:t>12</w:t>
            </w:r>
            <w:r>
              <w:rPr>
                <w:webHidden/>
              </w:rPr>
              <w:fldChar w:fldCharType="end"/>
            </w:r>
          </w:hyperlink>
        </w:p>
        <w:p w14:paraId="5FFE27AC" w14:textId="488BA5B1" w:rsidR="00517FD8" w:rsidRDefault="00517FD8" w:rsidP="00A94C11">
          <w:pPr>
            <w:pStyle w:val="TM1"/>
            <w:rPr>
              <w:rFonts w:eastAsiaTheme="minorEastAsia"/>
              <w:lang w:eastAsia="fr-FR"/>
            </w:rPr>
          </w:pPr>
          <w:hyperlink w:anchor="_Toc227244592" w:history="1">
            <w:r w:rsidRPr="003A1100">
              <w:rPr>
                <w:rStyle w:val="Lienhypertexte"/>
              </w:rPr>
              <w:t>ARTICLE 10 – Contacts</w:t>
            </w:r>
            <w:r>
              <w:rPr>
                <w:webHidden/>
              </w:rPr>
              <w:tab/>
            </w:r>
            <w:r>
              <w:rPr>
                <w:webHidden/>
              </w:rPr>
              <w:fldChar w:fldCharType="begin"/>
            </w:r>
            <w:r>
              <w:rPr>
                <w:webHidden/>
              </w:rPr>
              <w:instrText xml:space="preserve"> PAGEREF _Toc227244592 \h </w:instrText>
            </w:r>
            <w:r>
              <w:rPr>
                <w:webHidden/>
              </w:rPr>
            </w:r>
            <w:r>
              <w:rPr>
                <w:webHidden/>
              </w:rPr>
              <w:fldChar w:fldCharType="separate"/>
            </w:r>
            <w:r>
              <w:rPr>
                <w:webHidden/>
              </w:rPr>
              <w:t>13</w:t>
            </w:r>
            <w:r>
              <w:rPr>
                <w:webHidden/>
              </w:rPr>
              <w:fldChar w:fldCharType="end"/>
            </w:r>
          </w:hyperlink>
        </w:p>
        <w:p w14:paraId="3444CD0C" w14:textId="7B40964C" w:rsidR="00517FD8" w:rsidRDefault="00517FD8" w:rsidP="00A94C11">
          <w:pPr>
            <w:pStyle w:val="TM1"/>
            <w:rPr>
              <w:rFonts w:eastAsiaTheme="minorEastAsia"/>
              <w:lang w:eastAsia="fr-FR"/>
            </w:rPr>
          </w:pPr>
          <w:hyperlink w:anchor="_Toc227244593" w:history="1">
            <w:r w:rsidRPr="003A1100">
              <w:rPr>
                <w:rStyle w:val="Lienhypertexte"/>
              </w:rPr>
              <w:t>ARTICLE 11 – Transparence</w:t>
            </w:r>
            <w:r>
              <w:rPr>
                <w:webHidden/>
              </w:rPr>
              <w:tab/>
            </w:r>
            <w:r>
              <w:rPr>
                <w:webHidden/>
              </w:rPr>
              <w:fldChar w:fldCharType="begin"/>
            </w:r>
            <w:r>
              <w:rPr>
                <w:webHidden/>
              </w:rPr>
              <w:instrText xml:space="preserve"> PAGEREF _Toc227244593 \h </w:instrText>
            </w:r>
            <w:r>
              <w:rPr>
                <w:webHidden/>
              </w:rPr>
            </w:r>
            <w:r>
              <w:rPr>
                <w:webHidden/>
              </w:rPr>
              <w:fldChar w:fldCharType="separate"/>
            </w:r>
            <w:r>
              <w:rPr>
                <w:webHidden/>
              </w:rPr>
              <w:t>13</w:t>
            </w:r>
            <w:r>
              <w:rPr>
                <w:webHidden/>
              </w:rPr>
              <w:fldChar w:fldCharType="end"/>
            </w:r>
          </w:hyperlink>
        </w:p>
        <w:p w14:paraId="4E7B1DD9" w14:textId="6F1F8677" w:rsidR="00517FD8" w:rsidRDefault="00517FD8" w:rsidP="00A94C11">
          <w:pPr>
            <w:pStyle w:val="TM1"/>
            <w:rPr>
              <w:rFonts w:eastAsiaTheme="minorEastAsia"/>
              <w:lang w:eastAsia="fr-FR"/>
            </w:rPr>
          </w:pPr>
          <w:hyperlink w:anchor="_Toc227244594" w:history="1">
            <w:r w:rsidRPr="003A1100">
              <w:rPr>
                <w:rStyle w:val="Lienhypertexte"/>
              </w:rPr>
              <w:t>ARTICLE 12 – Dispositions finales</w:t>
            </w:r>
            <w:r>
              <w:rPr>
                <w:webHidden/>
              </w:rPr>
              <w:tab/>
            </w:r>
            <w:r>
              <w:rPr>
                <w:webHidden/>
              </w:rPr>
              <w:fldChar w:fldCharType="begin"/>
            </w:r>
            <w:r>
              <w:rPr>
                <w:webHidden/>
              </w:rPr>
              <w:instrText xml:space="preserve"> PAGEREF _Toc227244594 \h </w:instrText>
            </w:r>
            <w:r>
              <w:rPr>
                <w:webHidden/>
              </w:rPr>
            </w:r>
            <w:r>
              <w:rPr>
                <w:webHidden/>
              </w:rPr>
              <w:fldChar w:fldCharType="separate"/>
            </w:r>
            <w:r>
              <w:rPr>
                <w:webHidden/>
              </w:rPr>
              <w:t>13</w:t>
            </w:r>
            <w:r>
              <w:rPr>
                <w:webHidden/>
              </w:rPr>
              <w:fldChar w:fldCharType="end"/>
            </w:r>
          </w:hyperlink>
        </w:p>
        <w:p w14:paraId="7C76C969" w14:textId="6434FB86" w:rsidR="00FF1573" w:rsidRDefault="00FF1573">
          <w:r>
            <w:rPr>
              <w:b/>
              <w:bCs/>
            </w:rPr>
            <w:fldChar w:fldCharType="end"/>
          </w:r>
        </w:p>
      </w:sdtContent>
    </w:sdt>
    <w:p w14:paraId="3F5D7BA9" w14:textId="77777777" w:rsidR="00FF1573" w:rsidRPr="00517FD8" w:rsidRDefault="00FF1573" w:rsidP="00A94C11">
      <w:pPr>
        <w:pStyle w:val="TM1"/>
      </w:pPr>
      <w:r w:rsidRPr="00517FD8">
        <w:t>LE PROJET DEVELOP</w:t>
      </w:r>
    </w:p>
    <w:p w14:paraId="005DE993" w14:textId="77777777" w:rsidR="00FF1573" w:rsidRPr="00517FD8" w:rsidRDefault="00FF1573" w:rsidP="00A94C11">
      <w:pPr>
        <w:pStyle w:val="TM1"/>
      </w:pPr>
      <w:r w:rsidRPr="00517FD8">
        <w:t>Le projet « DEVELOP », financé par le Programme de Coopération INTERREG Maritime Italie-France 2021-2027, vise à contribuer à l’amélioration de la situation persistante de déséquilibre transfrontalier (« mismatch ») entre l’offre et la demande d’emploi, à travers :</w:t>
      </w:r>
    </w:p>
    <w:p w14:paraId="2DD66473" w14:textId="77777777" w:rsidR="00FF1573" w:rsidRPr="00517FD8" w:rsidRDefault="00FF1573" w:rsidP="00A94C11">
      <w:pPr>
        <w:pStyle w:val="TM1"/>
        <w:numPr>
          <w:ilvl w:val="0"/>
          <w:numId w:val="18"/>
        </w:numPr>
      </w:pPr>
      <w:r w:rsidRPr="00517FD8">
        <w:t>le renforcement de la connaissance du tissu entrepreneurial en termes de compétences et de profils professionnels requis pour faire face aux enjeux de compétitivité et d’innovation ;</w:t>
      </w:r>
    </w:p>
    <w:p w14:paraId="14D86487" w14:textId="77777777" w:rsidR="00FF1573" w:rsidRPr="00517FD8" w:rsidRDefault="00FF1573" w:rsidP="00A94C11">
      <w:pPr>
        <w:pStyle w:val="TM1"/>
        <w:numPr>
          <w:ilvl w:val="0"/>
          <w:numId w:val="18"/>
        </w:numPr>
      </w:pPr>
      <w:r w:rsidRPr="00517FD8">
        <w:t>le renforcement des compétences des personnes en recherche d’emploi en adéquation avec les défis économiques territoriaux ;</w:t>
      </w:r>
    </w:p>
    <w:p w14:paraId="4C953B40" w14:textId="77777777" w:rsidR="00FF1573" w:rsidRPr="00517FD8" w:rsidRDefault="00FF1573" w:rsidP="00A94C11">
      <w:pPr>
        <w:pStyle w:val="TM1"/>
        <w:numPr>
          <w:ilvl w:val="0"/>
          <w:numId w:val="18"/>
        </w:numPr>
      </w:pPr>
      <w:r w:rsidRPr="00517FD8">
        <w:t>la création d’un marché transfrontalier de l’offre et de la demande d’emploi, soutenu par des outils partagés et des services d’orientation harmonisés.</w:t>
      </w:r>
    </w:p>
    <w:p w14:paraId="140EE689" w14:textId="77777777" w:rsidR="00FF1573" w:rsidRPr="00517FD8" w:rsidRDefault="00FF1573" w:rsidP="00A94C11">
      <w:pPr>
        <w:pStyle w:val="TM1"/>
      </w:pPr>
    </w:p>
    <w:p w14:paraId="1AAED8E8" w14:textId="77777777" w:rsidR="00FF1573" w:rsidRPr="00517FD8" w:rsidRDefault="00FF1573" w:rsidP="00A94C11">
      <w:pPr>
        <w:pStyle w:val="TM1"/>
      </w:pPr>
      <w:r w:rsidRPr="00517FD8">
        <w:lastRenderedPageBreak/>
        <w:t>Pour innover dans l’approche à la problématique de l’emploi, le projet prévoit :</w:t>
      </w:r>
    </w:p>
    <w:p w14:paraId="40C40C88" w14:textId="77777777" w:rsidR="00FF1573" w:rsidRPr="00517FD8" w:rsidRDefault="00FF1573" w:rsidP="00A94C11">
      <w:pPr>
        <w:pStyle w:val="TM1"/>
        <w:numPr>
          <w:ilvl w:val="0"/>
          <w:numId w:val="18"/>
        </w:numPr>
      </w:pPr>
      <w:r w:rsidRPr="00517FD8">
        <w:t>une analyse plus approfondie des besoins et des attentes des personnes en recherche d’emploi, afin d’identifier les points critiques côté demande ;</w:t>
      </w:r>
    </w:p>
    <w:p w14:paraId="3C21857D" w14:textId="77777777" w:rsidR="00FF1573" w:rsidRPr="00517FD8" w:rsidRDefault="00FF1573" w:rsidP="00A94C11">
      <w:pPr>
        <w:pStyle w:val="TM1"/>
        <w:numPr>
          <w:ilvl w:val="0"/>
          <w:numId w:val="18"/>
        </w:numPr>
      </w:pPr>
      <w:r w:rsidRPr="00517FD8">
        <w:t>une nouvelle collaboration entre Chambres de Commerce et Agences de Pôle Emploi / France Travail, afin de structurer une méthode harmonisée d’accompagnement à l’orientation vers le marché du travail et, en particulier, vers les opportunités d’entrepreneuriat ;</w:t>
      </w:r>
    </w:p>
    <w:p w14:paraId="6D0ADC35" w14:textId="77777777" w:rsidR="00FF1573" w:rsidRPr="00517FD8" w:rsidRDefault="00FF1573" w:rsidP="00A94C11">
      <w:pPr>
        <w:pStyle w:val="TM1"/>
        <w:numPr>
          <w:ilvl w:val="0"/>
          <w:numId w:val="18"/>
        </w:numPr>
      </w:pPr>
      <w:r w:rsidRPr="00517FD8">
        <w:t>l’expérimentation de parcours de mobilité transfrontalière en entreprise au bénéfice des étudiants et des demandeurs d’emploi.</w:t>
      </w:r>
    </w:p>
    <w:p w14:paraId="54AEC840" w14:textId="77777777" w:rsidR="00FF1573" w:rsidRPr="00517FD8" w:rsidRDefault="00FF1573" w:rsidP="00A94C11">
      <w:pPr>
        <w:pStyle w:val="TM1"/>
      </w:pPr>
    </w:p>
    <w:p w14:paraId="504527C6" w14:textId="77777777" w:rsidR="00FF1573" w:rsidRPr="00517FD8" w:rsidRDefault="00FF1573" w:rsidP="00A94C11">
      <w:pPr>
        <w:pStyle w:val="TM1"/>
      </w:pPr>
      <w:r w:rsidRPr="00517FD8">
        <w:t>Partenaires du projet :</w:t>
      </w:r>
    </w:p>
    <w:p w14:paraId="0813BFAF" w14:textId="77777777" w:rsidR="00FF1573" w:rsidRPr="00517FD8" w:rsidRDefault="00FF1573" w:rsidP="00A94C11">
      <w:pPr>
        <w:pStyle w:val="TM1"/>
        <w:numPr>
          <w:ilvl w:val="0"/>
          <w:numId w:val="18"/>
        </w:numPr>
      </w:pPr>
      <w:r w:rsidRPr="00517FD8">
        <w:t>Chef de file : Chambre de Commerce, d’Industrie, d’Agriculture et d’Artisanat de Gênes</w:t>
      </w:r>
    </w:p>
    <w:p w14:paraId="78AD4D80" w14:textId="77777777" w:rsidR="00FF1573" w:rsidRPr="00517FD8" w:rsidRDefault="00FF1573" w:rsidP="00A94C11">
      <w:pPr>
        <w:pStyle w:val="TM1"/>
        <w:numPr>
          <w:ilvl w:val="0"/>
          <w:numId w:val="18"/>
        </w:numPr>
      </w:pPr>
      <w:r w:rsidRPr="00517FD8">
        <w:t>Chambre de Commerce, d’Industrie, d’Agriculture et d’Artisanat de Maremma et Tirreno</w:t>
      </w:r>
    </w:p>
    <w:p w14:paraId="2B8318CB" w14:textId="77777777" w:rsidR="00FF1573" w:rsidRPr="00517FD8" w:rsidRDefault="00FF1573" w:rsidP="00A94C11">
      <w:pPr>
        <w:pStyle w:val="TM1"/>
        <w:numPr>
          <w:ilvl w:val="0"/>
          <w:numId w:val="18"/>
        </w:numPr>
      </w:pPr>
      <w:r w:rsidRPr="00517FD8">
        <w:t>Chambre de Commerce, d’Industrie, d’Artisanat et d’Agriculture de Cagliari et Oristano</w:t>
      </w:r>
    </w:p>
    <w:p w14:paraId="5F5AEFCC" w14:textId="77777777" w:rsidR="00FF1573" w:rsidRPr="00517FD8" w:rsidRDefault="00FF1573" w:rsidP="00A94C11">
      <w:pPr>
        <w:pStyle w:val="TM1"/>
        <w:numPr>
          <w:ilvl w:val="0"/>
          <w:numId w:val="18"/>
        </w:numPr>
      </w:pPr>
      <w:r w:rsidRPr="00517FD8">
        <w:t>Chambre de Commerce et d’Industrie de Corse</w:t>
      </w:r>
    </w:p>
    <w:p w14:paraId="3EAE4CF6" w14:textId="77777777" w:rsidR="00FF1573" w:rsidRPr="00517FD8" w:rsidRDefault="00FF1573" w:rsidP="00A94C11">
      <w:pPr>
        <w:pStyle w:val="TM1"/>
        <w:numPr>
          <w:ilvl w:val="0"/>
          <w:numId w:val="18"/>
        </w:numPr>
      </w:pPr>
      <w:r w:rsidRPr="00517FD8">
        <w:t>ALFA Ligurie – Agence régionale pour l’emploi, la formation et l’accréditation</w:t>
      </w:r>
    </w:p>
    <w:p w14:paraId="3FCB49C4" w14:textId="77777777" w:rsidR="00FF1573" w:rsidRPr="00517FD8" w:rsidRDefault="00FF1573" w:rsidP="00A94C11">
      <w:pPr>
        <w:pStyle w:val="TM1"/>
        <w:numPr>
          <w:ilvl w:val="0"/>
          <w:numId w:val="18"/>
        </w:numPr>
      </w:pPr>
      <w:r w:rsidRPr="00517FD8">
        <w:t>Région Toscane</w:t>
      </w:r>
    </w:p>
    <w:p w14:paraId="74D9BA38" w14:textId="77777777" w:rsidR="00FF1573" w:rsidRPr="00517FD8" w:rsidRDefault="00FF1573" w:rsidP="00A94C11">
      <w:pPr>
        <w:pStyle w:val="TM1"/>
        <w:numPr>
          <w:ilvl w:val="0"/>
          <w:numId w:val="18"/>
        </w:numPr>
      </w:pPr>
      <w:r w:rsidRPr="00517FD8">
        <w:t>Agence Sarde pour les Politiques Actives de l’Emploi (ASPAL)</w:t>
      </w:r>
    </w:p>
    <w:p w14:paraId="5FC9E443" w14:textId="77777777" w:rsidR="00FF1573" w:rsidRPr="00517FD8" w:rsidRDefault="00FF1573" w:rsidP="00A94C11">
      <w:pPr>
        <w:pStyle w:val="TM1"/>
        <w:numPr>
          <w:ilvl w:val="0"/>
          <w:numId w:val="18"/>
        </w:numPr>
      </w:pPr>
      <w:r w:rsidRPr="00517FD8">
        <w:t>Chambre de Commerce et d’Industrie Nice Côte d’Azur</w:t>
      </w:r>
    </w:p>
    <w:p w14:paraId="5F46CA29" w14:textId="77777777" w:rsidR="00FF1573" w:rsidRPr="00517FD8" w:rsidRDefault="00FF1573" w:rsidP="00A94C11">
      <w:pPr>
        <w:pStyle w:val="TM1"/>
      </w:pPr>
    </w:p>
    <w:p w14:paraId="39C66F58" w14:textId="77777777" w:rsidR="00FF1573" w:rsidRPr="00517FD8" w:rsidRDefault="00FF1573" w:rsidP="00A94C11">
      <w:pPr>
        <w:pStyle w:val="TM1"/>
      </w:pPr>
      <w:r w:rsidRPr="00517FD8">
        <w:t>Plus d’informations sur le site internet du projet : https://interreg-marittimo.eu/it/web/develop</w:t>
      </w:r>
    </w:p>
    <w:p w14:paraId="00B516D1" w14:textId="77777777" w:rsidR="00FF1573" w:rsidRPr="000108B5" w:rsidRDefault="00FF1573" w:rsidP="00FF1573">
      <w:pPr>
        <w:pStyle w:val="Titre1"/>
        <w:rPr>
          <w:noProof/>
          <w:lang w:val="fr-FR"/>
        </w:rPr>
      </w:pPr>
      <w:bookmarkStart w:id="0" w:name="_Toc227244581"/>
      <w:r w:rsidRPr="000108B5">
        <w:rPr>
          <w:noProof/>
          <w:lang w:val="fr-FR"/>
        </w:rPr>
        <w:t>ARTICLE 1 – Objet de l’appel à candidatures</w:t>
      </w:r>
      <w:bookmarkEnd w:id="0"/>
    </w:p>
    <w:p w14:paraId="3E38F936" w14:textId="77777777" w:rsidR="00FF1573" w:rsidRPr="00517FD8" w:rsidRDefault="00FF1573" w:rsidP="00A94C11">
      <w:pPr>
        <w:pStyle w:val="TM1"/>
      </w:pPr>
      <w:r w:rsidRPr="00517FD8">
        <w:t>Le présent appel à candidatures définit les modalités de sélection des candidats souhaitant participer à un parcours de mobilité transnationale et/ou interrégionale en entreprise dans le cadre du projet DEVELOP.</w:t>
      </w:r>
    </w:p>
    <w:p w14:paraId="7B04F53F" w14:textId="0F331EA6" w:rsidR="00FF1573" w:rsidRPr="00517FD8" w:rsidRDefault="00FF1573" w:rsidP="00A94C11">
      <w:pPr>
        <w:pStyle w:val="TM1"/>
      </w:pPr>
      <w:r w:rsidRPr="00517FD8">
        <w:t>Les mobilités se dérouleront au sein d’un réseau de 25 entreprises hôtes situées dans la zone éligible du Programme INTERREG Maritime Italie–France 2021–2027 (https://interreg-marittimo.eu/geografia), réparties par territoire : Toscane (5), Ligurie (6), Région Sud–PACA (4), Sardaigne (5), Corse (5). Ces entreprises opèrent dans les filières prioritaires définies à l’article 3.</w:t>
      </w:r>
    </w:p>
    <w:p w14:paraId="084165E1" w14:textId="77777777" w:rsidR="00FF1573" w:rsidRPr="00517FD8" w:rsidRDefault="00FF1573" w:rsidP="00A94C11">
      <w:pPr>
        <w:pStyle w:val="TM1"/>
      </w:pPr>
      <w:r w:rsidRPr="00517FD8">
        <w:lastRenderedPageBreak/>
        <w:t xml:space="preserve">La mobilité prévoit une période de </w:t>
      </w:r>
    </w:p>
    <w:p w14:paraId="7DC5AFC0" w14:textId="372B87DE" w:rsidR="00FF1573" w:rsidRPr="00517FD8" w:rsidRDefault="00FF1573" w:rsidP="00A94C11">
      <w:pPr>
        <w:pStyle w:val="TM1"/>
      </w:pPr>
      <w:r w:rsidRPr="00517FD8">
        <w:t>8 semaines au sein d’une entreprise située dans l’un des territoires de la zone de coopération.</w:t>
      </w:r>
    </w:p>
    <w:p w14:paraId="23F45D00" w14:textId="77777777" w:rsidR="00FF1573" w:rsidRPr="00517FD8" w:rsidRDefault="00FF1573" w:rsidP="00A94C11">
      <w:pPr>
        <w:pStyle w:val="TM1"/>
      </w:pPr>
      <w:r w:rsidRPr="00517FD8">
        <w:t>Les candidats sélectionnés bénéficieront d’une bourse de mobilité, destinée à couvrir les frais de déplacement et de séjour sur place, conformément à l’article 7.</w:t>
      </w:r>
    </w:p>
    <w:p w14:paraId="70A09367" w14:textId="77777777" w:rsidR="00FF1573" w:rsidRPr="00517FD8" w:rsidRDefault="00FF1573" w:rsidP="00A94C11">
      <w:pPr>
        <w:pStyle w:val="TM1"/>
      </w:pPr>
    </w:p>
    <w:p w14:paraId="5B43BE6B" w14:textId="79D9BA92" w:rsidR="00FF1573" w:rsidRPr="00517FD8" w:rsidRDefault="00FF1573" w:rsidP="00A94C11">
      <w:pPr>
        <w:pStyle w:val="TM1"/>
      </w:pPr>
      <w:r w:rsidRPr="00517FD8">
        <w:t xml:space="preserve">Dans le cadre du présent appel, </w:t>
      </w:r>
      <w:r w:rsidR="000108B5">
        <w:t>la CCI Nice Côte d’Azur</w:t>
      </w:r>
      <w:r w:rsidRPr="00517FD8">
        <w:t xml:space="preserve"> sélectionnera </w:t>
      </w:r>
      <w:r w:rsidR="000108B5">
        <w:t>5</w:t>
      </w:r>
      <w:r w:rsidRPr="00517FD8">
        <w:t xml:space="preserve"> candidats qui effectueront leur mobilité dans les territoires suivants :</w:t>
      </w:r>
    </w:p>
    <w:p w14:paraId="50ECED35" w14:textId="1C1C3723" w:rsidR="00FF1573" w:rsidRPr="000108B5" w:rsidRDefault="000108B5" w:rsidP="00A94C11">
      <w:pPr>
        <w:pStyle w:val="TM1"/>
        <w:numPr>
          <w:ilvl w:val="0"/>
          <w:numId w:val="18"/>
        </w:numPr>
      </w:pPr>
      <w:r w:rsidRPr="000108B5">
        <w:t>1</w:t>
      </w:r>
      <w:r w:rsidR="00FF1573" w:rsidRPr="000108B5">
        <w:t xml:space="preserve"> bourse de mobilité en </w:t>
      </w:r>
      <w:r w:rsidR="006849DF" w:rsidRPr="000108B5">
        <w:t>Sardaigne</w:t>
      </w:r>
    </w:p>
    <w:p w14:paraId="2C54D808" w14:textId="0D831D3B" w:rsidR="00FF1573" w:rsidRPr="000108B5" w:rsidRDefault="000108B5" w:rsidP="00A94C11">
      <w:pPr>
        <w:pStyle w:val="TM1"/>
        <w:numPr>
          <w:ilvl w:val="0"/>
          <w:numId w:val="18"/>
        </w:numPr>
      </w:pPr>
      <w:r w:rsidRPr="000108B5">
        <w:t>1</w:t>
      </w:r>
      <w:r w:rsidR="00FF1573" w:rsidRPr="000108B5">
        <w:t xml:space="preserve"> bourse de mobilité en Toscane</w:t>
      </w:r>
    </w:p>
    <w:p w14:paraId="4DF07336" w14:textId="0C723F9D" w:rsidR="00FF1573" w:rsidRPr="000108B5" w:rsidRDefault="000108B5" w:rsidP="00A94C11">
      <w:pPr>
        <w:pStyle w:val="TM1"/>
        <w:numPr>
          <w:ilvl w:val="0"/>
          <w:numId w:val="18"/>
        </w:numPr>
      </w:pPr>
      <w:r w:rsidRPr="000108B5">
        <w:t>2</w:t>
      </w:r>
      <w:r w:rsidR="00FF1573" w:rsidRPr="000108B5">
        <w:t xml:space="preserve"> bourse</w:t>
      </w:r>
      <w:r w:rsidRPr="000108B5">
        <w:t>s</w:t>
      </w:r>
      <w:r w:rsidR="00FF1573" w:rsidRPr="000108B5">
        <w:t xml:space="preserve"> de mobilité en Ligurie</w:t>
      </w:r>
    </w:p>
    <w:p w14:paraId="1EDBED76" w14:textId="15E10300" w:rsidR="000108B5" w:rsidRPr="000108B5" w:rsidRDefault="000108B5" w:rsidP="000108B5">
      <w:pPr>
        <w:pStyle w:val="Paragraphedeliste"/>
        <w:numPr>
          <w:ilvl w:val="0"/>
          <w:numId w:val="18"/>
        </w:numPr>
      </w:pPr>
      <w:r w:rsidRPr="000108B5">
        <w:t>1 bourse de mobilité en Corse</w:t>
      </w:r>
    </w:p>
    <w:p w14:paraId="5774AB49" w14:textId="523801ED" w:rsidR="00FF1573" w:rsidRPr="00517FD8" w:rsidRDefault="00FF1573" w:rsidP="00A94C11">
      <w:pPr>
        <w:pStyle w:val="TM1"/>
      </w:pPr>
      <w:r w:rsidRPr="00517FD8">
        <w:t>Le détail des domaines et filières pour chaque territoire est présenté à l’article 3.</w:t>
      </w:r>
    </w:p>
    <w:p w14:paraId="31DBF5B9" w14:textId="49AEB0D2" w:rsidR="00FF1573" w:rsidRPr="00517FD8" w:rsidRDefault="00FF1573" w:rsidP="00A94C11">
      <w:pPr>
        <w:pStyle w:val="TM1"/>
      </w:pPr>
      <w:r w:rsidRPr="00517FD8">
        <w:t>Dans la suite du document, les bénéficiaires sélectionnés seront désignés sous le terme « participants ».</w:t>
      </w:r>
    </w:p>
    <w:p w14:paraId="64CC5BDA" w14:textId="77777777" w:rsidR="00FF1573" w:rsidRPr="000108B5" w:rsidRDefault="00FF1573" w:rsidP="00FF1573">
      <w:pPr>
        <w:pStyle w:val="Titre1"/>
        <w:rPr>
          <w:noProof/>
          <w:lang w:val="fr-FR"/>
        </w:rPr>
      </w:pPr>
      <w:bookmarkStart w:id="1" w:name="_Toc227244582"/>
      <w:r w:rsidRPr="000108B5">
        <w:rPr>
          <w:noProof/>
          <w:lang w:val="fr-FR"/>
        </w:rPr>
        <w:t>ARTICLE 2 – Conditions d’éligibilité</w:t>
      </w:r>
      <w:bookmarkEnd w:id="1"/>
    </w:p>
    <w:p w14:paraId="0EECA6B2" w14:textId="77777777" w:rsidR="00FF1573" w:rsidRPr="00517FD8" w:rsidRDefault="00FF1573" w:rsidP="00A94C11">
      <w:pPr>
        <w:pStyle w:val="TM1"/>
      </w:pPr>
      <w:r w:rsidRPr="00517FD8">
        <w:t>Le présent appel s’adresse aux étudiants et aux demandeurs d’emploi qui, souhaitant vivre une expérience de mobilité transnationale et/ou interrégionale, remplissent, à la date de dépôt de leur candidature, les conditions suivantes :</w:t>
      </w:r>
    </w:p>
    <w:p w14:paraId="19136BB8" w14:textId="77777777" w:rsidR="00FF1573" w:rsidRPr="00FF1573" w:rsidRDefault="00FF1573" w:rsidP="00A94C11">
      <w:pPr>
        <w:pStyle w:val="TM1"/>
        <w:numPr>
          <w:ilvl w:val="0"/>
          <w:numId w:val="18"/>
        </w:numPr>
      </w:pPr>
      <w:r w:rsidRPr="00FF1573">
        <w:t>être âgé(e) d’au moins 18 ans ;</w:t>
      </w:r>
    </w:p>
    <w:p w14:paraId="19182A44" w14:textId="77777777" w:rsidR="00FF1573" w:rsidRPr="00FF1573" w:rsidRDefault="00FF1573" w:rsidP="00A94C11">
      <w:pPr>
        <w:pStyle w:val="TM1"/>
        <w:numPr>
          <w:ilvl w:val="0"/>
          <w:numId w:val="18"/>
        </w:numPr>
      </w:pPr>
      <w:r w:rsidRPr="00FF1573">
        <w:t>être domicilié(e) ou résident(e) dans l’un des territoires de la zone de coopération (consultable à l’adresse : http://interreg-maritime.eu/it/programma/area) ;</w:t>
      </w:r>
    </w:p>
    <w:p w14:paraId="4F1A43ED" w14:textId="77777777" w:rsidR="00FF1573" w:rsidRPr="00FF1573" w:rsidRDefault="00FF1573" w:rsidP="00A94C11">
      <w:pPr>
        <w:pStyle w:val="TM1"/>
        <w:numPr>
          <w:ilvl w:val="0"/>
          <w:numId w:val="18"/>
        </w:numPr>
      </w:pPr>
      <w:r w:rsidRPr="00FF1573">
        <w:t>ne pas faire l’objet d’une condamnation pénale ou d’une procédure pénale en cours, conformément aux dispositions du Code pénal français ;</w:t>
      </w:r>
    </w:p>
    <w:p w14:paraId="2510B396" w14:textId="4D21BCFB" w:rsidR="00FF1573" w:rsidRPr="00FF1573" w:rsidRDefault="00FF1573" w:rsidP="00A94C11">
      <w:pPr>
        <w:pStyle w:val="TM1"/>
        <w:numPr>
          <w:ilvl w:val="0"/>
          <w:numId w:val="18"/>
        </w:numPr>
      </w:pPr>
      <w:r w:rsidRPr="00FF1573">
        <w:t>justifier d’un niveau linguistique (</w:t>
      </w:r>
      <w:r w:rsidR="00312EFB">
        <w:t>italien</w:t>
      </w:r>
      <w:r w:rsidRPr="00FF1573">
        <w:t xml:space="preserve"> et/ou anglais) au moins égal au niveau B1 selon le Cadre européen commun de référence pour les langues (CECRL), tel qu’indiqué dans le formulaire de candidature.</w:t>
      </w:r>
    </w:p>
    <w:p w14:paraId="2E37F9BF" w14:textId="77777777" w:rsidR="00FF1573" w:rsidRPr="000108B5" w:rsidRDefault="00FF1573" w:rsidP="00FF1573">
      <w:pPr>
        <w:pStyle w:val="Titre1"/>
        <w:rPr>
          <w:noProof/>
          <w:lang w:val="fr-FR"/>
        </w:rPr>
      </w:pPr>
      <w:bookmarkStart w:id="2" w:name="_Toc227244583"/>
      <w:r w:rsidRPr="000108B5">
        <w:rPr>
          <w:noProof/>
          <w:lang w:val="fr-FR"/>
        </w:rPr>
        <w:t>ARTICLE 3 – Domaines d’activité et filières prioritaires</w:t>
      </w:r>
      <w:bookmarkEnd w:id="2"/>
    </w:p>
    <w:p w14:paraId="017A2010" w14:textId="583AE673" w:rsidR="00FF1573" w:rsidRPr="00FF1573" w:rsidRDefault="00FF1573" w:rsidP="00A94C11">
      <w:pPr>
        <w:pStyle w:val="TM1"/>
      </w:pPr>
      <w:r w:rsidRPr="00FF1573">
        <w:t xml:space="preserve">Afin de favoriser une rencontre efficace entre les profils des candidats résidant et/ou domiciliés dans </w:t>
      </w:r>
      <w:r w:rsidR="00312EFB">
        <w:t>les zones</w:t>
      </w:r>
      <w:r w:rsidRPr="00FF1573">
        <w:t xml:space="preserve"> éligibles du Programme et les besoins des entreprises des autres territoires partenaires, les parcours de mobilité transfrontalière seront réalisés </w:t>
      </w:r>
      <w:r w:rsidRPr="00FF1573">
        <w:lastRenderedPageBreak/>
        <w:t>en priorité dans les filières / domaines d’activité suivants, organisés par territoire d’accueil.</w:t>
      </w:r>
    </w:p>
    <w:p w14:paraId="5DC1F517" w14:textId="780E4CEE" w:rsidR="00FF1573" w:rsidRPr="00FF1573" w:rsidRDefault="00FF1573" w:rsidP="00A94C11">
      <w:pPr>
        <w:pStyle w:val="TM1"/>
      </w:pPr>
      <w:r w:rsidRPr="00FF1573">
        <w:t>Les candidats pourront, dans leur dossier de candidature, exprimer, par ordre de préférence, plusieurs choix parmi les profils proposés. Le détail des profils recherchés par territoire est présenté ci-après.</w:t>
      </w:r>
    </w:p>
    <w:p w14:paraId="4F3F888D" w14:textId="77777777" w:rsidR="00FF58DA" w:rsidRDefault="00FF58DA" w:rsidP="00A94C11">
      <w:pPr>
        <w:pStyle w:val="TM1"/>
      </w:pPr>
    </w:p>
    <w:p w14:paraId="74E46D56" w14:textId="1DC95145" w:rsidR="00FF1573" w:rsidRDefault="00FF1573" w:rsidP="00A94C11">
      <w:pPr>
        <w:pStyle w:val="TM1"/>
      </w:pPr>
      <w:r w:rsidRPr="00FF1573">
        <w:t>Profils recherchés pour les mobilités :</w:t>
      </w:r>
    </w:p>
    <w:p w14:paraId="0860864E" w14:textId="225BC619" w:rsidR="00FF1573" w:rsidRPr="00AF31DB" w:rsidRDefault="000108B5" w:rsidP="00F7714E">
      <w:pPr>
        <w:pStyle w:val="TM1"/>
        <w:spacing w:after="0" w:line="360" w:lineRule="auto"/>
        <w:rPr>
          <w:b/>
          <w:bCs/>
        </w:rPr>
      </w:pPr>
      <w:r w:rsidRPr="00AF31DB">
        <w:rPr>
          <w:b/>
          <w:bCs/>
        </w:rPr>
        <w:t>1</w:t>
      </w:r>
      <w:r w:rsidR="00FF1573" w:rsidRPr="00AF31DB">
        <w:rPr>
          <w:b/>
          <w:bCs/>
        </w:rPr>
        <w:t xml:space="preserve"> mobilité en </w:t>
      </w:r>
      <w:r w:rsidR="00A71302" w:rsidRPr="00AF31DB">
        <w:rPr>
          <w:b/>
          <w:bCs/>
        </w:rPr>
        <w:t>Sardaigne</w:t>
      </w:r>
    </w:p>
    <w:p w14:paraId="7A0D1482" w14:textId="6FBB2488" w:rsidR="00FF1573" w:rsidRDefault="000108B5" w:rsidP="00F7714E">
      <w:pPr>
        <w:pStyle w:val="TM1"/>
        <w:numPr>
          <w:ilvl w:val="0"/>
          <w:numId w:val="19"/>
        </w:numPr>
        <w:spacing w:after="0" w:line="360" w:lineRule="auto"/>
        <w:ind w:left="714" w:hanging="357"/>
      </w:pPr>
      <w:r w:rsidRPr="00A94C11">
        <w:t>H</w:t>
      </w:r>
      <w:r w:rsidR="00FF1573" w:rsidRPr="00A94C11">
        <w:t>ébergement touristique</w:t>
      </w:r>
      <w:r w:rsidR="002B25D5">
        <w:t xml:space="preserve"> : </w:t>
      </w:r>
      <w:r w:rsidRPr="00A94C11">
        <w:t>réception communication, promotion)</w:t>
      </w:r>
      <w:r w:rsidR="00B36CAA">
        <w:t xml:space="preserve"> </w:t>
      </w:r>
      <w:r w:rsidR="002B25D5">
        <w:t xml:space="preserve">; </w:t>
      </w:r>
      <w:r w:rsidR="00273378">
        <w:t>qualification minimale</w:t>
      </w:r>
      <w:r w:rsidR="00BC1E87">
        <w:t xml:space="preserve"> : </w:t>
      </w:r>
      <w:r w:rsidR="00273378">
        <w:t>bac pro, bts, certificat</w:t>
      </w:r>
      <w:r w:rsidR="00BC1E87">
        <w:t>, italien, anglais, français</w:t>
      </w:r>
      <w:r w:rsidR="00AF31DB">
        <w:t xml:space="preserve"> – période : saison </w:t>
      </w:r>
    </w:p>
    <w:p w14:paraId="538A1BB4" w14:textId="1B6D145C" w:rsidR="00FF1573" w:rsidRPr="00A94C11" w:rsidRDefault="000108B5" w:rsidP="00F7714E">
      <w:pPr>
        <w:pStyle w:val="TM1"/>
        <w:spacing w:after="0" w:line="360" w:lineRule="auto"/>
      </w:pPr>
      <w:r w:rsidRPr="00AF31DB">
        <w:rPr>
          <w:b/>
          <w:bCs/>
        </w:rPr>
        <w:t>1</w:t>
      </w:r>
      <w:r w:rsidR="00FF1573" w:rsidRPr="00AF31DB">
        <w:rPr>
          <w:b/>
          <w:bCs/>
        </w:rPr>
        <w:t xml:space="preserve"> mobilité en Toscane (Livourne)</w:t>
      </w:r>
    </w:p>
    <w:p w14:paraId="12CF79DC" w14:textId="2BC814EB" w:rsidR="00FF1573" w:rsidRDefault="00FF1573" w:rsidP="00F7714E">
      <w:pPr>
        <w:pStyle w:val="TM1"/>
        <w:numPr>
          <w:ilvl w:val="0"/>
          <w:numId w:val="19"/>
        </w:numPr>
        <w:spacing w:after="0" w:line="360" w:lineRule="auto"/>
      </w:pPr>
      <w:r w:rsidRPr="00A94C11">
        <w:t>Restauration</w:t>
      </w:r>
      <w:r w:rsidR="00F7714E">
        <w:t xml:space="preserve"> : </w:t>
      </w:r>
      <w:r w:rsidR="00C85E81">
        <w:t xml:space="preserve">2 postes </w:t>
      </w:r>
      <w:r w:rsidR="00F7714E">
        <w:t>au choix</w:t>
      </w:r>
      <w:r w:rsidR="00C85E81">
        <w:t xml:space="preserve"> : </w:t>
      </w:r>
      <w:r w:rsidR="000108B5" w:rsidRPr="00A94C11">
        <w:t>cuisinier</w:t>
      </w:r>
      <w:r w:rsidR="00C85E81">
        <w:t xml:space="preserve"> &amp;</w:t>
      </w:r>
      <w:r w:rsidR="000108B5" w:rsidRPr="00A94C11">
        <w:t xml:space="preserve"> barman, ou </w:t>
      </w:r>
      <w:r w:rsidR="00C85E81">
        <w:t>barista &amp; garçon de salle</w:t>
      </w:r>
      <w:r w:rsidR="00F7714E">
        <w:t xml:space="preserve"> ; </w:t>
      </w:r>
      <w:r w:rsidR="00C85E81">
        <w:t>poste 1 : diplôme requis</w:t>
      </w:r>
      <w:r w:rsidR="002D1FD2">
        <w:t xml:space="preserve">, italien </w:t>
      </w:r>
      <w:r w:rsidR="00C85E81">
        <w:t xml:space="preserve"> – poste 2 : expériences, diplôme non requis</w:t>
      </w:r>
      <w:r w:rsidR="002D1FD2">
        <w:t>, français, an</w:t>
      </w:r>
      <w:r w:rsidR="00C133D1">
        <w:t>glais.</w:t>
      </w:r>
    </w:p>
    <w:p w14:paraId="3C82AA83" w14:textId="13C64B26" w:rsidR="00FF1573" w:rsidRPr="00AF31DB" w:rsidRDefault="000108B5" w:rsidP="00F7714E">
      <w:pPr>
        <w:pStyle w:val="TM1"/>
        <w:spacing w:after="0" w:line="360" w:lineRule="auto"/>
        <w:rPr>
          <w:b/>
          <w:bCs/>
        </w:rPr>
      </w:pPr>
      <w:r w:rsidRPr="00AF31DB">
        <w:rPr>
          <w:b/>
          <w:bCs/>
        </w:rPr>
        <w:t>2</w:t>
      </w:r>
      <w:r w:rsidR="00FF1573" w:rsidRPr="00AF31DB">
        <w:rPr>
          <w:b/>
          <w:bCs/>
        </w:rPr>
        <w:t xml:space="preserve"> mobilité</w:t>
      </w:r>
      <w:r w:rsidRPr="00AF31DB">
        <w:rPr>
          <w:b/>
          <w:bCs/>
        </w:rPr>
        <w:t>s</w:t>
      </w:r>
      <w:r w:rsidR="00FF1573" w:rsidRPr="00AF31DB">
        <w:rPr>
          <w:b/>
          <w:bCs/>
        </w:rPr>
        <w:t xml:space="preserve"> en Ligurie (province de Gênes)</w:t>
      </w:r>
      <w:r w:rsidR="00D01BC1" w:rsidRPr="00AF31DB">
        <w:rPr>
          <w:b/>
          <w:bCs/>
        </w:rPr>
        <w:t> :</w:t>
      </w:r>
    </w:p>
    <w:p w14:paraId="464A60AE" w14:textId="049DEC3F" w:rsidR="00D01BC1" w:rsidRPr="00861375" w:rsidRDefault="00D01BC1" w:rsidP="00F7714E">
      <w:pPr>
        <w:pStyle w:val="TM1"/>
        <w:numPr>
          <w:ilvl w:val="0"/>
          <w:numId w:val="19"/>
        </w:numPr>
        <w:spacing w:after="0" w:line="360" w:lineRule="auto"/>
        <w:rPr>
          <w:sz w:val="22"/>
          <w:szCs w:val="22"/>
        </w:rPr>
      </w:pPr>
      <w:r w:rsidRPr="00A94C11">
        <w:t>Production, R&amp;D – construction navale</w:t>
      </w:r>
      <w:r w:rsidR="00795B3B">
        <w:t xml:space="preserve"> </w:t>
      </w:r>
      <w:r w:rsidR="00CA1FF5">
        <w:t>–</w:t>
      </w:r>
      <w:r w:rsidR="00795B3B">
        <w:t xml:space="preserve"> </w:t>
      </w:r>
      <w:r w:rsidR="00CA1FF5" w:rsidRPr="00861375">
        <w:rPr>
          <w:sz w:val="22"/>
          <w:szCs w:val="22"/>
        </w:rPr>
        <w:t xml:space="preserve">italien/anglais de base – diplôme BTS </w:t>
      </w:r>
      <w:r w:rsidR="00861375" w:rsidRPr="00861375">
        <w:rPr>
          <w:sz w:val="22"/>
          <w:szCs w:val="22"/>
        </w:rPr>
        <w:t>–</w:t>
      </w:r>
      <w:r w:rsidR="00CA1FF5" w:rsidRPr="00861375">
        <w:rPr>
          <w:sz w:val="22"/>
          <w:szCs w:val="22"/>
        </w:rPr>
        <w:t xml:space="preserve"> </w:t>
      </w:r>
      <w:r w:rsidR="006E6056" w:rsidRPr="00861375">
        <w:rPr>
          <w:sz w:val="22"/>
          <w:szCs w:val="22"/>
        </w:rPr>
        <w:t>sept</w:t>
      </w:r>
      <w:r w:rsidR="00861375" w:rsidRPr="00861375">
        <w:rPr>
          <w:sz w:val="22"/>
          <w:szCs w:val="22"/>
        </w:rPr>
        <w:t xml:space="preserve"> 2026</w:t>
      </w:r>
    </w:p>
    <w:p w14:paraId="4F6A0C3B" w14:textId="56CD157D" w:rsidR="00A94C11" w:rsidRDefault="00D01BC1" w:rsidP="00F7714E">
      <w:pPr>
        <w:pStyle w:val="TM1"/>
        <w:numPr>
          <w:ilvl w:val="0"/>
          <w:numId w:val="19"/>
        </w:numPr>
        <w:spacing w:after="0" w:line="360" w:lineRule="auto"/>
        <w:rPr>
          <w:sz w:val="22"/>
          <w:szCs w:val="22"/>
        </w:rPr>
      </w:pPr>
      <w:r w:rsidRPr="00A94C11">
        <w:t>Entretien maintenance – navigation de plaisance</w:t>
      </w:r>
      <w:r w:rsidR="00861375">
        <w:t xml:space="preserve"> </w:t>
      </w:r>
      <w:r w:rsidR="00861375" w:rsidRPr="00861375">
        <w:rPr>
          <w:sz w:val="22"/>
          <w:szCs w:val="22"/>
        </w:rPr>
        <w:t>– italien/anglais de base – diplôme non repuis- sept 2026</w:t>
      </w:r>
    </w:p>
    <w:p w14:paraId="3D850455" w14:textId="6BE89410" w:rsidR="00F7714E" w:rsidRPr="00AF31DB" w:rsidRDefault="00A94C11" w:rsidP="00F7714E">
      <w:pPr>
        <w:spacing w:after="0" w:line="360" w:lineRule="auto"/>
        <w:ind w:firstLine="708"/>
        <w:rPr>
          <w:b/>
          <w:bCs/>
        </w:rPr>
      </w:pPr>
      <w:r w:rsidRPr="00AF31DB">
        <w:rPr>
          <w:b/>
          <w:bCs/>
        </w:rPr>
        <w:t>1 mobilité en Corse</w:t>
      </w:r>
      <w:r w:rsidR="00AF31DB">
        <w:rPr>
          <w:b/>
          <w:bCs/>
        </w:rPr>
        <w:t> :</w:t>
      </w:r>
    </w:p>
    <w:p w14:paraId="1F732B61" w14:textId="07C15A16" w:rsidR="00A94C11" w:rsidRPr="00214758" w:rsidRDefault="00A94C11" w:rsidP="00F7714E">
      <w:pPr>
        <w:pStyle w:val="TM1"/>
        <w:numPr>
          <w:ilvl w:val="0"/>
          <w:numId w:val="19"/>
        </w:numPr>
        <w:spacing w:after="0" w:line="360" w:lineRule="auto"/>
      </w:pPr>
      <w:r w:rsidRPr="00214758">
        <w:t>Hébergement touristique (réception communication, promotion)</w:t>
      </w:r>
      <w:r w:rsidR="00836752">
        <w:t> : Français, anglais</w:t>
      </w:r>
      <w:r w:rsidR="00FA02F6">
        <w:t xml:space="preserve"> – diplôme non requis- </w:t>
      </w:r>
      <w:r w:rsidR="002B25D5">
        <w:t>communication et organisation</w:t>
      </w:r>
    </w:p>
    <w:p w14:paraId="18EE0AAA" w14:textId="77777777" w:rsidR="00FF1573" w:rsidRPr="000108B5" w:rsidRDefault="00FF1573" w:rsidP="00FF1573">
      <w:pPr>
        <w:pStyle w:val="Titre1"/>
        <w:rPr>
          <w:noProof/>
          <w:lang w:val="fr-FR"/>
        </w:rPr>
      </w:pPr>
      <w:bookmarkStart w:id="3" w:name="_Toc227244584"/>
      <w:r w:rsidRPr="000108B5">
        <w:rPr>
          <w:noProof/>
          <w:lang w:val="fr-FR"/>
        </w:rPr>
        <w:t>ARTICLE 4 – Documents, modalités et délai de dépôt de la candidature</w:t>
      </w:r>
      <w:bookmarkEnd w:id="3"/>
    </w:p>
    <w:p w14:paraId="7F1BD680" w14:textId="77777777" w:rsidR="00FF1573" w:rsidRPr="000108B5" w:rsidRDefault="00FF1573" w:rsidP="00312EFB">
      <w:pPr>
        <w:pStyle w:val="Titre2"/>
        <w:rPr>
          <w:noProof/>
          <w:lang w:val="fr-FR"/>
        </w:rPr>
      </w:pPr>
      <w:bookmarkStart w:id="4" w:name="_Toc227244585"/>
      <w:r w:rsidRPr="000108B5">
        <w:rPr>
          <w:noProof/>
          <w:lang w:val="fr-FR"/>
        </w:rPr>
        <w:t>4.1 – Documents requis</w:t>
      </w:r>
      <w:bookmarkEnd w:id="4"/>
    </w:p>
    <w:p w14:paraId="3D1BAE74" w14:textId="34E2BFDF" w:rsidR="00FF1573" w:rsidRPr="00FF1573" w:rsidRDefault="00FF1573" w:rsidP="00A94C11">
      <w:pPr>
        <w:pStyle w:val="TM1"/>
      </w:pPr>
      <w:r w:rsidRPr="00FF1573">
        <w:t xml:space="preserve">Le formulaire de candidature et les pièces jointes sont téléchargeables sur </w:t>
      </w:r>
      <w:r w:rsidR="00A94C11">
        <w:t xml:space="preserve">le site </w:t>
      </w:r>
      <w:hyperlink r:id="rId8" w:history="1">
        <w:r w:rsidR="00A94C11" w:rsidRPr="00A94C11">
          <w:rPr>
            <w:rStyle w:val="Lienhypertexte"/>
          </w:rPr>
          <w:t>www.cci</w:t>
        </w:r>
      </w:hyperlink>
    </w:p>
    <w:p w14:paraId="6A006B4F" w14:textId="77777777" w:rsidR="00FF1573" w:rsidRPr="00FF1573" w:rsidRDefault="00FF1573" w:rsidP="00A94C11">
      <w:pPr>
        <w:pStyle w:val="TM1"/>
      </w:pPr>
      <w:r w:rsidRPr="00FF1573">
        <w:t>La candidature, sous peine d’irrecevabilité, doit :</w:t>
      </w:r>
    </w:p>
    <w:p w14:paraId="2D21A75E" w14:textId="7D53F6F3" w:rsidR="00FF1573" w:rsidRPr="00FF1573" w:rsidRDefault="00312EFB" w:rsidP="00A94C11">
      <w:pPr>
        <w:pStyle w:val="TM1"/>
        <w:numPr>
          <w:ilvl w:val="0"/>
          <w:numId w:val="18"/>
        </w:numPr>
      </w:pPr>
      <w:r>
        <w:t>Ê</w:t>
      </w:r>
      <w:r w:rsidR="00FF1573" w:rsidRPr="00FF1573">
        <w:t>tre rédigée exclusivement en utilisant les formulaires prévus et annexés au présent appel ;</w:t>
      </w:r>
    </w:p>
    <w:p w14:paraId="7F1E89AD" w14:textId="4155B177" w:rsidR="00FF1573" w:rsidRPr="00FF1573" w:rsidRDefault="00312EFB" w:rsidP="00A94C11">
      <w:pPr>
        <w:pStyle w:val="TM1"/>
        <w:numPr>
          <w:ilvl w:val="0"/>
          <w:numId w:val="18"/>
        </w:numPr>
      </w:pPr>
      <w:r>
        <w:t>C</w:t>
      </w:r>
      <w:r w:rsidR="00FF1573" w:rsidRPr="00FF1573">
        <w:t>ontenir le formulaire de demande de participation ;</w:t>
      </w:r>
    </w:p>
    <w:p w14:paraId="5194AB75" w14:textId="21FEB1E5" w:rsidR="00FF1573" w:rsidRPr="00FF1573" w:rsidRDefault="00312EFB" w:rsidP="00A94C11">
      <w:pPr>
        <w:pStyle w:val="TM1"/>
        <w:numPr>
          <w:ilvl w:val="0"/>
          <w:numId w:val="18"/>
        </w:numPr>
      </w:pPr>
      <w:r>
        <w:lastRenderedPageBreak/>
        <w:t>Ê</w:t>
      </w:r>
      <w:r w:rsidR="00FF1573" w:rsidRPr="00FF1573">
        <w:t>tre dûment signée (la délégation de signature n’est pas admise) ;</w:t>
      </w:r>
    </w:p>
    <w:p w14:paraId="5B896B92" w14:textId="1CD68913" w:rsidR="00FF1573" w:rsidRPr="00FF1573" w:rsidRDefault="00312EFB" w:rsidP="00A94C11">
      <w:pPr>
        <w:pStyle w:val="TM1"/>
        <w:numPr>
          <w:ilvl w:val="0"/>
          <w:numId w:val="18"/>
        </w:numPr>
      </w:pPr>
      <w:r>
        <w:t>Ê</w:t>
      </w:r>
      <w:r w:rsidR="00FF1573" w:rsidRPr="00FF1573">
        <w:t>tre envoyée exclusivement par courrier électronique dans les délais prévus à l’article 4.2.</w:t>
      </w:r>
    </w:p>
    <w:p w14:paraId="41F0B5E7" w14:textId="77777777" w:rsidR="00FF1573" w:rsidRPr="00FF1573" w:rsidRDefault="00FF1573" w:rsidP="00A94C11">
      <w:pPr>
        <w:pStyle w:val="TM1"/>
      </w:pPr>
      <w:r w:rsidRPr="00FF1573">
        <w:t>La candidature doit également comporter les pièces jointes obligatoires suivantes, signées électroniquement (signature qualifiée au sens du Règlement eIDAS n° 910/2014) ou, à défaut, revêtues d’une signature manuscrite accompagnée d’une copie d’une pièce d’identité en cours de validité :</w:t>
      </w:r>
    </w:p>
    <w:p w14:paraId="6B645AB7" w14:textId="77777777" w:rsidR="00312EFB" w:rsidRDefault="00FF1573" w:rsidP="00A94C11">
      <w:pPr>
        <w:pStyle w:val="TM1"/>
        <w:numPr>
          <w:ilvl w:val="0"/>
          <w:numId w:val="20"/>
        </w:numPr>
      </w:pPr>
      <w:r w:rsidRPr="00FF1573">
        <w:t>Engagement du bénéficiaire en mobilité (Annexe 1) ;</w:t>
      </w:r>
    </w:p>
    <w:p w14:paraId="17504260" w14:textId="77777777" w:rsidR="00312EFB" w:rsidRDefault="00FF1573" w:rsidP="00A94C11">
      <w:pPr>
        <w:pStyle w:val="TM1"/>
        <w:numPr>
          <w:ilvl w:val="0"/>
          <w:numId w:val="20"/>
        </w:numPr>
      </w:pPr>
      <w:r w:rsidRPr="00FF1573">
        <w:t>Curriculum Vitae au format Europass à jour ;</w:t>
      </w:r>
    </w:p>
    <w:p w14:paraId="5EE4D616" w14:textId="77777777" w:rsidR="00312EFB" w:rsidRDefault="00FF1573" w:rsidP="00A94C11">
      <w:pPr>
        <w:pStyle w:val="TM1"/>
        <w:numPr>
          <w:ilvl w:val="0"/>
          <w:numId w:val="20"/>
        </w:numPr>
      </w:pPr>
      <w:r w:rsidRPr="00FF1573">
        <w:t>Lettre de motivation ;</w:t>
      </w:r>
    </w:p>
    <w:p w14:paraId="176F6551" w14:textId="04DB0A1E" w:rsidR="00FF1573" w:rsidRPr="00FF1573" w:rsidRDefault="00FF1573" w:rsidP="00A94C11">
      <w:pPr>
        <w:pStyle w:val="TM1"/>
        <w:numPr>
          <w:ilvl w:val="0"/>
          <w:numId w:val="20"/>
        </w:numPr>
      </w:pPr>
      <w:r w:rsidRPr="00FF1573">
        <w:t>Copie d’une pièce d’identité en cours de validité.</w:t>
      </w:r>
    </w:p>
    <w:p w14:paraId="248FDD1B" w14:textId="621FD6B2" w:rsidR="00FF1573" w:rsidRPr="00FF1573" w:rsidRDefault="00FF1573" w:rsidP="00A94C11">
      <w:pPr>
        <w:pStyle w:val="TM1"/>
      </w:pPr>
      <w:r w:rsidRPr="00FF1573">
        <w:t>En cas d’absence des documents mentionnés aux points a., b. et c. ci-dessus, la Chambre de Commerce se réserve le droit de demander un complément de dossier, conformément à l’article 5.</w:t>
      </w:r>
    </w:p>
    <w:p w14:paraId="3E221B51" w14:textId="77777777" w:rsidR="00FF1573" w:rsidRPr="00FF1573" w:rsidRDefault="00FF1573" w:rsidP="00A94C11">
      <w:pPr>
        <w:pStyle w:val="TM1"/>
      </w:pPr>
      <w:r w:rsidRPr="00FF1573">
        <w:t>Tout document complémentaire en possession du candidat sera pris en compte dans le cadre de la procédure d’évaluation et de sélection, comme prévu à l’article 6. À titre indicatif, et de manière non exhaustive, voici une liste de documents pouvant être joints à la candidature :</w:t>
      </w:r>
    </w:p>
    <w:p w14:paraId="3D7EC958" w14:textId="77777777" w:rsidR="00FF1573" w:rsidRPr="00FF1573" w:rsidRDefault="00FF1573" w:rsidP="00A94C11">
      <w:pPr>
        <w:pStyle w:val="TM1"/>
        <w:numPr>
          <w:ilvl w:val="0"/>
          <w:numId w:val="18"/>
        </w:numPr>
      </w:pPr>
      <w:r w:rsidRPr="00FF1573">
        <w:t>Justificatif du niveau linguistique (certification / attestation) ;</w:t>
      </w:r>
    </w:p>
    <w:p w14:paraId="43FF036B" w14:textId="77777777" w:rsidR="00FF1573" w:rsidRPr="00FF1573" w:rsidRDefault="00FF1573" w:rsidP="00A94C11">
      <w:pPr>
        <w:pStyle w:val="TM1"/>
        <w:numPr>
          <w:ilvl w:val="0"/>
          <w:numId w:val="18"/>
        </w:numPr>
      </w:pPr>
      <w:r w:rsidRPr="00FF1573">
        <w:t>Certifications et/ou qualifications en lien avec le secteur d’intérêt.</w:t>
      </w:r>
    </w:p>
    <w:p w14:paraId="29330088" w14:textId="77777777" w:rsidR="00FF1573" w:rsidRPr="00FF1573" w:rsidRDefault="00FF1573" w:rsidP="00A94C11">
      <w:pPr>
        <w:pStyle w:val="TM1"/>
      </w:pPr>
    </w:p>
    <w:p w14:paraId="24A82106" w14:textId="77777777" w:rsidR="00FF1573" w:rsidRPr="000108B5" w:rsidRDefault="00FF1573" w:rsidP="00312EFB">
      <w:pPr>
        <w:pStyle w:val="Titre2"/>
        <w:rPr>
          <w:noProof/>
          <w:lang w:val="fr-FR"/>
        </w:rPr>
      </w:pPr>
      <w:bookmarkStart w:id="5" w:name="_Toc227244586"/>
      <w:r w:rsidRPr="000108B5">
        <w:rPr>
          <w:noProof/>
          <w:lang w:val="fr-FR"/>
        </w:rPr>
        <w:t>4.2 – Modalités et délai de dépôt</w:t>
      </w:r>
      <w:bookmarkEnd w:id="5"/>
    </w:p>
    <w:p w14:paraId="61079ED2" w14:textId="77777777" w:rsidR="00FF1573" w:rsidRPr="00FF1573" w:rsidRDefault="00FF1573" w:rsidP="00A94C11">
      <w:pPr>
        <w:pStyle w:val="TM1"/>
      </w:pPr>
      <w:r w:rsidRPr="00FF1573">
        <w:t xml:space="preserve">La candidature devra être envoyée exclusivement par courrier électronique sécurisé (recommandé électronique ou via une messagerie sécurisée institutionnelle) au plus tard le </w:t>
      </w:r>
    </w:p>
    <w:p w14:paraId="7C64CE9A" w14:textId="28BB4EC3" w:rsidR="00FF1573" w:rsidRPr="009D582A" w:rsidRDefault="00A94C11" w:rsidP="00A94C11">
      <w:pPr>
        <w:pStyle w:val="TM1"/>
        <w:rPr>
          <w:b/>
          <w:bCs/>
        </w:rPr>
      </w:pPr>
      <w:r w:rsidRPr="009D582A">
        <w:rPr>
          <w:b/>
          <w:bCs/>
        </w:rPr>
        <w:t>04</w:t>
      </w:r>
      <w:r w:rsidR="00FF1573" w:rsidRPr="009D582A">
        <w:rPr>
          <w:b/>
          <w:bCs/>
        </w:rPr>
        <w:t>/</w:t>
      </w:r>
      <w:r w:rsidRPr="009D582A">
        <w:rPr>
          <w:b/>
          <w:bCs/>
        </w:rPr>
        <w:t>06/</w:t>
      </w:r>
      <w:r w:rsidR="00FF1573" w:rsidRPr="009D582A">
        <w:rPr>
          <w:b/>
          <w:bCs/>
        </w:rPr>
        <w:t xml:space="preserve">2026 </w:t>
      </w:r>
      <w:r w:rsidRPr="009D582A">
        <w:rPr>
          <w:b/>
          <w:bCs/>
        </w:rPr>
        <w:t>à minuit</w:t>
      </w:r>
      <w:r w:rsidR="00FF1573" w:rsidRPr="009D582A">
        <w:rPr>
          <w:b/>
          <w:bCs/>
        </w:rPr>
        <w:t xml:space="preserve"> à l’adresse suivante :</w:t>
      </w:r>
    </w:p>
    <w:p w14:paraId="1CFC9323" w14:textId="0CC461CF" w:rsidR="00FF1573" w:rsidRPr="009D582A" w:rsidRDefault="00A94C11" w:rsidP="00A94C11">
      <w:pPr>
        <w:pStyle w:val="TM1"/>
        <w:rPr>
          <w:b/>
          <w:bCs/>
        </w:rPr>
      </w:pPr>
      <w:r w:rsidRPr="009D582A">
        <w:rPr>
          <w:b/>
          <w:bCs/>
        </w:rPr>
        <w:t>delphine.turin@cote-azur.cci.fr</w:t>
      </w:r>
    </w:p>
    <w:p w14:paraId="024D1F20" w14:textId="4707DDCF" w:rsidR="00FF1573" w:rsidRPr="00FF1573" w:rsidRDefault="00FF1573" w:rsidP="00A94C11">
      <w:pPr>
        <w:pStyle w:val="TM1"/>
      </w:pPr>
      <w:r w:rsidRPr="00FF1573">
        <w:t>Aucune autre modalité de transmission (courrier postal, dépôt physique, formulaire en ligne non sécurisé) ne sera acceptée.</w:t>
      </w:r>
    </w:p>
    <w:p w14:paraId="63AFAFE4" w14:textId="77D648FB" w:rsidR="00FF1573" w:rsidRPr="00FF1573" w:rsidRDefault="00FF1573" w:rsidP="00A94C11">
      <w:pPr>
        <w:pStyle w:val="TM1"/>
      </w:pPr>
      <w:r w:rsidRPr="00FF1573">
        <w:t>Les dossiers reçus après la date limite ne seront pas pris en compte. Chaque candidat ne peut déposer qu’une seule candidature. En cas de candidatures multiples, seule la première reçue (déterminée par l’ordre chronologique d’enregistrement) sera instruite ; les suivantes seront déclarées irrecevables. La Chambre de Commerce</w:t>
      </w:r>
      <w:r w:rsidR="00FF58DA">
        <w:t xml:space="preserve"> Nice Cote </w:t>
      </w:r>
      <w:r w:rsidR="00FF58DA">
        <w:lastRenderedPageBreak/>
        <w:t>d’Azur</w:t>
      </w:r>
      <w:r w:rsidRPr="00FF1573">
        <w:t xml:space="preserve"> décline toute responsabilité en cas de non-réception du dossier due à des incidents techniques.</w:t>
      </w:r>
    </w:p>
    <w:p w14:paraId="2DB0AD22" w14:textId="77777777" w:rsidR="00FF1573" w:rsidRPr="000108B5" w:rsidRDefault="00FF1573" w:rsidP="00FF1573">
      <w:pPr>
        <w:pStyle w:val="Titre1"/>
        <w:rPr>
          <w:noProof/>
          <w:lang w:val="fr-FR"/>
        </w:rPr>
      </w:pPr>
      <w:bookmarkStart w:id="6" w:name="_Toc227244587"/>
      <w:r w:rsidRPr="000108B5">
        <w:rPr>
          <w:noProof/>
          <w:lang w:val="fr-FR"/>
        </w:rPr>
        <w:t>ARTICLE 5 – Instruction administrative formelle des dossiers</w:t>
      </w:r>
      <w:bookmarkEnd w:id="6"/>
    </w:p>
    <w:p w14:paraId="7CBC6B0E" w14:textId="1F1850F6" w:rsidR="00FF1573" w:rsidRPr="00FF1573" w:rsidRDefault="00FF1573" w:rsidP="00A94C11">
      <w:pPr>
        <w:pStyle w:val="TM1"/>
      </w:pPr>
      <w:r w:rsidRPr="00FF1573">
        <w:t>La procédure d’instruction débute à la date de réception du dossier et se clôture dans un délai de 30 jours, sauf suspension pour vérification des conditions d’éligibilité auprès d’autres organismes publics, par l’envoi d’une notification d’admission à la phase d’évaluation (article 6) ou d’une décision de rejet.</w:t>
      </w:r>
    </w:p>
    <w:p w14:paraId="6363FDAE" w14:textId="59CD8149" w:rsidR="00FF1573" w:rsidRPr="00FF1573" w:rsidRDefault="00FF1573" w:rsidP="00A94C11">
      <w:pPr>
        <w:pStyle w:val="TM1"/>
      </w:pPr>
      <w:r w:rsidRPr="00FF1573">
        <w:t xml:space="preserve">La procédure d’instruction administrative formelle est réalisée selon l’ordre chronologique de réception des dossiers, déterminé par le numéro d’enregistrement attribué </w:t>
      </w:r>
      <w:r w:rsidR="00A94C11">
        <w:t>par la CCI Nice Côte d’Azur</w:t>
      </w:r>
      <w:r w:rsidRPr="00FF1573">
        <w:t>. Elle est suivie d’une procédure d’évaluation conduite par la Commission, selon les modalités définies à l’article 6 du présent appel.</w:t>
      </w:r>
    </w:p>
    <w:p w14:paraId="62A7C8F9" w14:textId="77777777" w:rsidR="00FF1573" w:rsidRPr="00FF1573" w:rsidRDefault="00FF1573" w:rsidP="00A94C11">
      <w:pPr>
        <w:pStyle w:val="TM1"/>
      </w:pPr>
      <w:r w:rsidRPr="00FF1573">
        <w:t>L’instruction menée par le Responsable du traitement du dossier porte sur la vérification de :</w:t>
      </w:r>
    </w:p>
    <w:p w14:paraId="59D5DD89" w14:textId="48F9CAB0" w:rsidR="00FF1573" w:rsidRPr="00FF1573" w:rsidRDefault="00896568" w:rsidP="00A94C11">
      <w:pPr>
        <w:pStyle w:val="TM1"/>
        <w:numPr>
          <w:ilvl w:val="0"/>
          <w:numId w:val="18"/>
        </w:numPr>
      </w:pPr>
      <w:r>
        <w:t>R</w:t>
      </w:r>
      <w:r w:rsidR="00FF1573" w:rsidRPr="00FF1573">
        <w:t>espect des délais et des modalités de transmission prévus à l’article 4 ;</w:t>
      </w:r>
    </w:p>
    <w:p w14:paraId="7CA0ABE1" w14:textId="068D604D" w:rsidR="00FF1573" w:rsidRPr="00FF1573" w:rsidRDefault="00896568" w:rsidP="00A94C11">
      <w:pPr>
        <w:pStyle w:val="TM1"/>
        <w:numPr>
          <w:ilvl w:val="0"/>
          <w:numId w:val="18"/>
        </w:numPr>
      </w:pPr>
      <w:r>
        <w:t>R</w:t>
      </w:r>
      <w:r w:rsidR="00FF1573" w:rsidRPr="00FF1573">
        <w:t>espect des conditions d’éligibilité prévues à l’article 2 ;</w:t>
      </w:r>
    </w:p>
    <w:p w14:paraId="3AEED225" w14:textId="6851F235" w:rsidR="00FF1573" w:rsidRPr="00FF1573" w:rsidRDefault="00896568" w:rsidP="00A94C11">
      <w:pPr>
        <w:pStyle w:val="TM1"/>
        <w:numPr>
          <w:ilvl w:val="0"/>
          <w:numId w:val="18"/>
        </w:numPr>
      </w:pPr>
      <w:r>
        <w:t>C</w:t>
      </w:r>
      <w:r w:rsidR="00FF1573" w:rsidRPr="00FF1573">
        <w:t>omplétude du contenu, régularité formelle des documents produits et conformité avec les exigences du présent appel.</w:t>
      </w:r>
    </w:p>
    <w:p w14:paraId="2499135F" w14:textId="4BD3D3C6" w:rsidR="00FF1573" w:rsidRPr="00FF1573" w:rsidRDefault="00FF1573" w:rsidP="00A94C11">
      <w:pPr>
        <w:pStyle w:val="TM1"/>
      </w:pPr>
      <w:r w:rsidRPr="00FF1573">
        <w:t xml:space="preserve">Le dossier est déclaré irrecevable lorsque les conditions de recevabilité prévues à l’article 4.1 ne sont pas respectées. Le </w:t>
      </w:r>
      <w:r w:rsidR="00896568">
        <w:t>r</w:t>
      </w:r>
      <w:r w:rsidRPr="00FF1573">
        <w:t>esponsable du traitement en informe alors le candidat sans délai et de manière motivée, par messagerie.</w:t>
      </w:r>
    </w:p>
    <w:p w14:paraId="64BFBF20" w14:textId="32799677" w:rsidR="00FF1573" w:rsidRPr="00FF1573" w:rsidRDefault="00FF1573" w:rsidP="00A94C11">
      <w:pPr>
        <w:pStyle w:val="TM1"/>
      </w:pPr>
      <w:r w:rsidRPr="00FF1573">
        <w:t xml:space="preserve">Le dossier recevable est considéré comme admissible si la documentation est régulière et complète et si les conditions d’éligibilité du bénéficiaire prévues à l’article 2 sont vérifiées. Si la documentation prévue à l’article 4.1 (points a., b., c.) s’avère incomplète ou irrégulière, ou si des pièces complémentaires sont nécessaires pour poursuivre l’instruction, le </w:t>
      </w:r>
      <w:r w:rsidR="00312EFB">
        <w:t>r</w:t>
      </w:r>
      <w:r w:rsidRPr="00FF1573">
        <w:t>esponsable du traitement en informe le demandeur par écrit et lui fixe un délai de rigueur de 10 jours ouvrables à compter de la réception de la notification, qui suspend le délai de traitement.</w:t>
      </w:r>
    </w:p>
    <w:p w14:paraId="3D13B231" w14:textId="7D8E1EFB" w:rsidR="00FF1573" w:rsidRPr="00FF1573" w:rsidRDefault="00FF1573" w:rsidP="00A94C11">
      <w:pPr>
        <w:pStyle w:val="TM1"/>
      </w:pPr>
      <w:r w:rsidRPr="00FF1573">
        <w:t>En l’absence de réponse ou de transmission des pièces dans le délai imparti, l’instruction sera finalisée sur la base des documents reçus, et le candidat sera notifié de l’admissibilité ou, le cas échéant, de l’inadmissibilité de son dossier.</w:t>
      </w:r>
    </w:p>
    <w:p w14:paraId="37A7E109" w14:textId="77777777" w:rsidR="00FF1573" w:rsidRPr="00FF1573" w:rsidRDefault="00FF1573" w:rsidP="00A94C11">
      <w:pPr>
        <w:pStyle w:val="TM1"/>
      </w:pPr>
      <w:r w:rsidRPr="00FF1573">
        <w:t>Les compléments reçus après l’échéance des 10 jours ouvrables ne seront pas pris en compte.</w:t>
      </w:r>
    </w:p>
    <w:p w14:paraId="35AF3467" w14:textId="77777777" w:rsidR="00FF1573" w:rsidRPr="000108B5" w:rsidRDefault="00FF1573" w:rsidP="00FF1573">
      <w:pPr>
        <w:pStyle w:val="Titre1"/>
        <w:rPr>
          <w:noProof/>
          <w:lang w:val="fr-FR"/>
        </w:rPr>
      </w:pPr>
      <w:bookmarkStart w:id="7" w:name="_Toc227244588"/>
      <w:r w:rsidRPr="000108B5">
        <w:rPr>
          <w:noProof/>
          <w:lang w:val="fr-FR"/>
        </w:rPr>
        <w:lastRenderedPageBreak/>
        <w:t>ARTICLE 6 – Procédure d’évaluation</w:t>
      </w:r>
      <w:bookmarkEnd w:id="7"/>
    </w:p>
    <w:p w14:paraId="73498D18" w14:textId="043007DD" w:rsidR="00FF1573" w:rsidRPr="00FF1573" w:rsidRDefault="00FF1573" w:rsidP="00A94C11">
      <w:pPr>
        <w:pStyle w:val="TM1"/>
      </w:pPr>
      <w:r w:rsidRPr="00FF1573">
        <w:t xml:space="preserve">Les dossiers déclarés admissibles conformément à l’article 5 font l’objet d’une procédure d’évaluation conduite par une Commission </w:t>
      </w:r>
      <w:r w:rsidRPr="00A94C11">
        <w:t xml:space="preserve">interne composée du Responsable du service « </w:t>
      </w:r>
      <w:r w:rsidR="00A94C11" w:rsidRPr="00A94C11">
        <w:t xml:space="preserve"> développement</w:t>
      </w:r>
      <w:r w:rsidR="00896568" w:rsidRPr="00A94C11">
        <w:t xml:space="preserve"> des Entreprises</w:t>
      </w:r>
      <w:r w:rsidRPr="00A94C11">
        <w:t xml:space="preserve"> » et</w:t>
      </w:r>
      <w:r w:rsidRPr="00FF1573">
        <w:t xml:space="preserve"> </w:t>
      </w:r>
      <w:r w:rsidR="00A94C11">
        <w:t>responsable du pôle Compétence, tout deux référents sur le projet Developp.</w:t>
      </w:r>
      <w:r w:rsidRPr="00FF1573">
        <w:t xml:space="preserve"> La Commission pourra être élargie à d’autres membres internes et/ou externes si cela s’avère nécessaire pour le processus d’évaluation.</w:t>
      </w:r>
    </w:p>
    <w:p w14:paraId="69E57065" w14:textId="2C18F4A8" w:rsidR="00FF1573" w:rsidRDefault="00FF1573" w:rsidP="00A94C11">
      <w:pPr>
        <w:pStyle w:val="TM1"/>
      </w:pPr>
      <w:r w:rsidRPr="00FF1573">
        <w:t>La Commission examine les dossiers admissibles afin d’évaluer les candidats par l’attribution d’un score basé sur les critères suivants :</w:t>
      </w:r>
    </w:p>
    <w:p w14:paraId="1E29C6B2" w14:textId="77777777" w:rsidR="00FF58DA" w:rsidRPr="00FF58DA" w:rsidRDefault="00FF58DA" w:rsidP="00FF58DA"/>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5000"/>
        <w:gridCol w:w="1638"/>
      </w:tblGrid>
      <w:tr w:rsidR="00FF1573" w:rsidRPr="00FF1573" w14:paraId="374A3444" w14:textId="77777777" w:rsidTr="00AD76DE">
        <w:trPr>
          <w:tblHeader/>
        </w:trPr>
        <w:tc>
          <w:tcPr>
            <w:tcW w:w="3000" w:type="dxa"/>
            <w:tcBorders>
              <w:top w:val="single" w:sz="1" w:space="0" w:color="2C5F8A"/>
              <w:left w:val="single" w:sz="1" w:space="0" w:color="2C5F8A"/>
              <w:bottom w:val="single" w:sz="1" w:space="0" w:color="2C5F8A"/>
              <w:right w:val="single" w:sz="1" w:space="0" w:color="2C5F8A"/>
            </w:tcBorders>
            <w:shd w:val="clear" w:color="auto" w:fill="2C5F8A"/>
            <w:tcMar>
              <w:top w:w="80" w:type="dxa"/>
              <w:left w:w="120" w:type="dxa"/>
              <w:bottom w:w="80" w:type="dxa"/>
              <w:right w:w="120" w:type="dxa"/>
            </w:tcMar>
          </w:tcPr>
          <w:p w14:paraId="2215C7E2" w14:textId="77777777" w:rsidR="00FF1573" w:rsidRPr="00FF1573" w:rsidRDefault="00FF1573" w:rsidP="00A94C11">
            <w:pPr>
              <w:pStyle w:val="TM1"/>
            </w:pPr>
            <w:r w:rsidRPr="00FF1573">
              <w:t>CRITÈRES D’ÉVALUATION</w:t>
            </w:r>
          </w:p>
        </w:tc>
        <w:tc>
          <w:tcPr>
            <w:tcW w:w="5000" w:type="dxa"/>
            <w:tcBorders>
              <w:top w:val="single" w:sz="1" w:space="0" w:color="2C5F8A"/>
              <w:left w:val="single" w:sz="1" w:space="0" w:color="2C5F8A"/>
              <w:bottom w:val="single" w:sz="1" w:space="0" w:color="2C5F8A"/>
              <w:right w:val="single" w:sz="1" w:space="0" w:color="2C5F8A"/>
            </w:tcBorders>
            <w:shd w:val="clear" w:color="auto" w:fill="2C5F8A"/>
            <w:tcMar>
              <w:top w:w="80" w:type="dxa"/>
              <w:left w:w="120" w:type="dxa"/>
              <w:bottom w:w="80" w:type="dxa"/>
              <w:right w:w="120" w:type="dxa"/>
            </w:tcMar>
          </w:tcPr>
          <w:p w14:paraId="38A1DFE0" w14:textId="77777777" w:rsidR="00FF1573" w:rsidRPr="00FF1573" w:rsidRDefault="00FF1573" w:rsidP="00A94C11">
            <w:pPr>
              <w:pStyle w:val="TM1"/>
            </w:pPr>
            <w:r w:rsidRPr="00FF1573">
              <w:t>DESCRIPTION</w:t>
            </w:r>
          </w:p>
        </w:tc>
        <w:tc>
          <w:tcPr>
            <w:tcW w:w="1638" w:type="dxa"/>
            <w:tcBorders>
              <w:top w:val="single" w:sz="1" w:space="0" w:color="2C5F8A"/>
              <w:left w:val="single" w:sz="1" w:space="0" w:color="2C5F8A"/>
              <w:bottom w:val="single" w:sz="1" w:space="0" w:color="2C5F8A"/>
              <w:right w:val="single" w:sz="1" w:space="0" w:color="2C5F8A"/>
            </w:tcBorders>
            <w:shd w:val="clear" w:color="auto" w:fill="2C5F8A"/>
            <w:tcMar>
              <w:top w:w="80" w:type="dxa"/>
              <w:left w:w="120" w:type="dxa"/>
              <w:bottom w:w="80" w:type="dxa"/>
              <w:right w:w="120" w:type="dxa"/>
            </w:tcMar>
          </w:tcPr>
          <w:p w14:paraId="351665C0" w14:textId="77777777" w:rsidR="00FF1573" w:rsidRPr="00FF1573" w:rsidRDefault="00FF1573" w:rsidP="00A94C11">
            <w:pPr>
              <w:pStyle w:val="TM1"/>
            </w:pPr>
            <w:r w:rsidRPr="00FF1573">
              <w:t>SCORE MAX</w:t>
            </w:r>
          </w:p>
        </w:tc>
      </w:tr>
      <w:tr w:rsidR="00FF1573" w:rsidRPr="00FF1573" w14:paraId="674ED97E" w14:textId="77777777" w:rsidTr="00AD76DE">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C3F36A" w14:textId="77777777" w:rsidR="00FF1573" w:rsidRPr="00FF1573" w:rsidRDefault="00FF1573" w:rsidP="00A94C11">
            <w:pPr>
              <w:pStyle w:val="TM1"/>
            </w:pPr>
            <w:r w:rsidRPr="00FF1573">
              <w:t>MOTIVATION ET OBJECTIFS DE LA MOBILITÉ</w:t>
            </w:r>
          </w:p>
        </w:tc>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5DF3C3" w14:textId="77777777" w:rsidR="00FF1573" w:rsidRPr="00FF1573" w:rsidRDefault="00FF1573" w:rsidP="00A94C11">
            <w:pPr>
              <w:pStyle w:val="TM1"/>
            </w:pPr>
            <w:r w:rsidRPr="00FF1573">
              <w:t>Clarté dans la description des motivations et des finalités pour lesquelles le candidat souhaite effectuer la mobilité.</w:t>
            </w:r>
          </w:p>
        </w:tc>
        <w:tc>
          <w:tcPr>
            <w:tcW w:w="16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5D59E8" w14:textId="77777777" w:rsidR="00FF1573" w:rsidRPr="00FF1573" w:rsidRDefault="00FF1573" w:rsidP="00A94C11">
            <w:pPr>
              <w:pStyle w:val="TM1"/>
            </w:pPr>
            <w:r w:rsidRPr="00FF1573">
              <w:t>20</w:t>
            </w:r>
          </w:p>
        </w:tc>
      </w:tr>
      <w:tr w:rsidR="00FF1573" w:rsidRPr="00FF1573" w14:paraId="3C1A8BCF" w14:textId="77777777" w:rsidTr="00AD76DE">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FAAA29" w14:textId="77777777" w:rsidR="00FF1573" w:rsidRPr="00FF1573" w:rsidRDefault="00FF1573" w:rsidP="00A94C11">
            <w:pPr>
              <w:pStyle w:val="TM1"/>
            </w:pPr>
            <w:r w:rsidRPr="00FF1573">
              <w:t>COHÉRENCE DU PARCOURS D’ÉTUDES / PROFESSIONNEL AVEC LA MOBILITÉ</w:t>
            </w:r>
          </w:p>
        </w:tc>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5EDC9B" w14:textId="77777777" w:rsidR="00FF1573" w:rsidRPr="00FF1573" w:rsidRDefault="00FF1573" w:rsidP="00A94C11">
            <w:pPr>
              <w:pStyle w:val="TM1"/>
            </w:pPr>
            <w:r w:rsidRPr="00FF1573">
              <w:t>Adéquation entre le parcours d’études ou le parcours professionnel et les activités prévues par la mobilité souhaitée ; pertinence des compétences et connaissances académiques et professionnelles au regard de la mobilité.</w:t>
            </w:r>
          </w:p>
        </w:tc>
        <w:tc>
          <w:tcPr>
            <w:tcW w:w="16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420DDB" w14:textId="77777777" w:rsidR="00FF1573" w:rsidRPr="00FF1573" w:rsidRDefault="00FF1573" w:rsidP="00A94C11">
            <w:pPr>
              <w:pStyle w:val="TM1"/>
            </w:pPr>
            <w:r w:rsidRPr="00FF1573">
              <w:t>20</w:t>
            </w:r>
          </w:p>
        </w:tc>
      </w:tr>
      <w:tr w:rsidR="00FF1573" w:rsidRPr="00FF1573" w14:paraId="41CC2457" w14:textId="77777777" w:rsidTr="00AD76DE">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726AC6" w14:textId="77777777" w:rsidR="00FF1573" w:rsidRPr="00FF1573" w:rsidRDefault="00FF1573" w:rsidP="00A94C11">
            <w:pPr>
              <w:pStyle w:val="TM1"/>
            </w:pPr>
            <w:r w:rsidRPr="00FF1573">
              <w:t>POSSESSION DE QUALIFICATIONS ET/OU ATTESTATIONS</w:t>
            </w:r>
          </w:p>
        </w:tc>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772151" w14:textId="77777777" w:rsidR="00FF1573" w:rsidRPr="00FF1573" w:rsidRDefault="00FF1573" w:rsidP="00A94C11">
            <w:pPr>
              <w:pStyle w:val="TM1"/>
            </w:pPr>
            <w:r w:rsidRPr="00FF1573">
              <w:t>Détention de qualifications et/ou attestations en cohérence avec l’expérience de mobilité souhaitée.</w:t>
            </w:r>
          </w:p>
        </w:tc>
        <w:tc>
          <w:tcPr>
            <w:tcW w:w="16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461623" w14:textId="77777777" w:rsidR="00FF1573" w:rsidRPr="00FF1573" w:rsidRDefault="00FF1573" w:rsidP="00A94C11">
            <w:pPr>
              <w:pStyle w:val="TM1"/>
            </w:pPr>
            <w:r w:rsidRPr="00FF1573">
              <w:t>5</w:t>
            </w:r>
          </w:p>
        </w:tc>
      </w:tr>
      <w:tr w:rsidR="00FF1573" w:rsidRPr="00FF1573" w14:paraId="2160A686" w14:textId="77777777" w:rsidTr="00AD76DE">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9AFF76" w14:textId="77777777" w:rsidR="00FF1573" w:rsidRPr="00FF1573" w:rsidRDefault="00FF1573" w:rsidP="00A94C11">
            <w:pPr>
              <w:pStyle w:val="TM1"/>
            </w:pPr>
            <w:r w:rsidRPr="00FF1573">
              <w:t>EXPÉRIENCES ANTÉRIEURES DE MOBILITÉ</w:t>
            </w:r>
          </w:p>
        </w:tc>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473440" w14:textId="77777777" w:rsidR="00FF1573" w:rsidRPr="00FF1573" w:rsidRDefault="00FF1573" w:rsidP="00A94C11">
            <w:pPr>
              <w:pStyle w:val="TM1"/>
            </w:pPr>
            <w:r w:rsidRPr="00FF1573">
              <w:t>Liste des éventuelles expériences de mobilité (séjours linguistiques, stages, etc.) à l’échelle nationale et/ou internationale.</w:t>
            </w:r>
          </w:p>
        </w:tc>
        <w:tc>
          <w:tcPr>
            <w:tcW w:w="16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AC41AF" w14:textId="77777777" w:rsidR="00FF1573" w:rsidRPr="00FF1573" w:rsidRDefault="00FF1573" w:rsidP="00A94C11">
            <w:pPr>
              <w:pStyle w:val="TM1"/>
            </w:pPr>
            <w:r w:rsidRPr="00FF1573">
              <w:t>5</w:t>
            </w:r>
          </w:p>
        </w:tc>
      </w:tr>
      <w:tr w:rsidR="00FF1573" w:rsidRPr="00FF1573" w14:paraId="32E822E8" w14:textId="77777777" w:rsidTr="00AD76DE">
        <w:tc>
          <w:tcPr>
            <w:tcW w:w="8000" w:type="dxa"/>
            <w:gridSpan w:val="2"/>
            <w:tcBorders>
              <w:top w:val="single" w:sz="1" w:space="0" w:color="2C5F8A"/>
              <w:left w:val="single" w:sz="1" w:space="0" w:color="2C5F8A"/>
              <w:bottom w:val="single" w:sz="1" w:space="0" w:color="2C5F8A"/>
              <w:right w:val="single" w:sz="1" w:space="0" w:color="2C5F8A"/>
            </w:tcBorders>
            <w:shd w:val="clear" w:color="auto" w:fill="EAF0F8"/>
            <w:tcMar>
              <w:top w:w="80" w:type="dxa"/>
              <w:left w:w="120" w:type="dxa"/>
              <w:bottom w:w="80" w:type="dxa"/>
              <w:right w:w="120" w:type="dxa"/>
            </w:tcMar>
          </w:tcPr>
          <w:p w14:paraId="13E13541" w14:textId="7E7EFE27" w:rsidR="00FF1573" w:rsidRPr="00FF1573" w:rsidRDefault="00FF1573" w:rsidP="00A94C11">
            <w:pPr>
              <w:pStyle w:val="TM1"/>
            </w:pPr>
            <w:r w:rsidRPr="00FF1573">
              <w:t>SCORE MAXIMUM POUVANT Ê</w:t>
            </w:r>
            <w:r w:rsidR="00A94C11">
              <w:t>TRE</w:t>
            </w:r>
            <w:r w:rsidRPr="00FF1573">
              <w:t xml:space="preserve"> OBTENU</w:t>
            </w:r>
          </w:p>
        </w:tc>
        <w:tc>
          <w:tcPr>
            <w:tcW w:w="1638" w:type="dxa"/>
            <w:tcBorders>
              <w:top w:val="single" w:sz="1" w:space="0" w:color="2C5F8A"/>
              <w:left w:val="single" w:sz="1" w:space="0" w:color="2C5F8A"/>
              <w:bottom w:val="single" w:sz="1" w:space="0" w:color="2C5F8A"/>
              <w:right w:val="single" w:sz="1" w:space="0" w:color="2C5F8A"/>
            </w:tcBorders>
            <w:shd w:val="clear" w:color="auto" w:fill="EAF0F8"/>
            <w:tcMar>
              <w:top w:w="80" w:type="dxa"/>
              <w:left w:w="120" w:type="dxa"/>
              <w:bottom w:w="80" w:type="dxa"/>
              <w:right w:w="120" w:type="dxa"/>
            </w:tcMar>
          </w:tcPr>
          <w:p w14:paraId="41C4B888" w14:textId="77777777" w:rsidR="00FF1573" w:rsidRPr="00FF1573" w:rsidRDefault="00FF1573" w:rsidP="00A94C11">
            <w:pPr>
              <w:pStyle w:val="TM1"/>
            </w:pPr>
            <w:r w:rsidRPr="00FF1573">
              <w:t>50</w:t>
            </w:r>
          </w:p>
        </w:tc>
      </w:tr>
    </w:tbl>
    <w:p w14:paraId="0E8FEE88" w14:textId="77777777" w:rsidR="00FF1573" w:rsidRPr="00FF1573" w:rsidRDefault="00FF1573" w:rsidP="00A94C11">
      <w:pPr>
        <w:pStyle w:val="TM1"/>
      </w:pPr>
    </w:p>
    <w:p w14:paraId="25F94E36" w14:textId="305EFAC2" w:rsidR="00FF1573" w:rsidRPr="00FF1573" w:rsidRDefault="00FF1573" w:rsidP="00A94C11">
      <w:pPr>
        <w:pStyle w:val="TM1"/>
      </w:pPr>
      <w:r w:rsidRPr="00FF1573">
        <w:lastRenderedPageBreak/>
        <w:t>Les candidats considérés comme admissibles doivent avoir obtenu au minimum 30 points sur 50.</w:t>
      </w:r>
    </w:p>
    <w:p w14:paraId="1BA6A9C7" w14:textId="46C6B4BA" w:rsidR="00FF1573" w:rsidRPr="00FF1573" w:rsidRDefault="00FF1573" w:rsidP="00A94C11">
      <w:pPr>
        <w:pStyle w:val="TM1"/>
      </w:pPr>
      <w:r w:rsidRPr="00FF1573">
        <w:t>Sur la base de l’évaluation réalisée et de l’atteinte du score minimum, la Commission établit un classement (ainsi qu’une liste de réserve) en fonction de la destination et du secteur de premier choix du candidat (exprimés dans le formulaire de candidature). En cas d’égalité de score, la Commission retient le candidat le mieux classé sur le critère « MOTIVATION ET OBJECTIFS DE LA MOBILITÉ ».</w:t>
      </w:r>
    </w:p>
    <w:p w14:paraId="23365F81" w14:textId="50100BA7" w:rsidR="00FF1573" w:rsidRPr="00FF1573" w:rsidRDefault="00FF1573" w:rsidP="00A94C11">
      <w:pPr>
        <w:pStyle w:val="TM1"/>
      </w:pPr>
      <w:r w:rsidRPr="00FF1573">
        <w:t>Ce classement vise à identifier les trois premiers candidats qui seront proposés aux entreprises des territoires d’accueil, lesquelles choisiront le candidat à accueillir en mobilité sur la base du dossier et/ou d’un éventuel entretien.</w:t>
      </w:r>
    </w:p>
    <w:p w14:paraId="77FAA2CA" w14:textId="77777777" w:rsidR="00FF1573" w:rsidRPr="00FF1573" w:rsidRDefault="00FF1573" w:rsidP="00A94C11">
      <w:pPr>
        <w:pStyle w:val="TM1"/>
      </w:pPr>
      <w:r w:rsidRPr="00FF1573">
        <w:t>Si une destination ou un profil publié ne reçoit aucune candidature en premier choix, la Commission proposera aux trois premiers candidats de la liste de réserve ayant sélectionné cette destination et ce profil en second choix la possibilité d’accéder à la phase de mise en relation avec les entreprises de ce territoire. Les profils des candidats acceptant cette proposition seront alors soumis à l’évaluation des entreprises d’accueil.</w:t>
      </w:r>
    </w:p>
    <w:p w14:paraId="654411CC" w14:textId="77777777" w:rsidR="00FF1573" w:rsidRPr="00FF1573" w:rsidRDefault="00FF1573" w:rsidP="00A94C11">
      <w:pPr>
        <w:pStyle w:val="TM1"/>
      </w:pPr>
    </w:p>
    <w:p w14:paraId="7F6BA708" w14:textId="77777777" w:rsidR="00FF1573" w:rsidRPr="00FF1573" w:rsidRDefault="00FF1573" w:rsidP="00A94C11">
      <w:pPr>
        <w:pStyle w:val="TM1"/>
      </w:pPr>
      <w:r w:rsidRPr="00FF1573">
        <w:t>La procédure d’évaluation débute à la date de clôture de l’appel et se clôture dans un délai de 45 jours, par une décision d’admission ou de rejet. Le résultat de la sélection est communiqué aux candidats par messagerie sécurisée. Les bénéficiaires sélectionnés devront :</w:t>
      </w:r>
    </w:p>
    <w:p w14:paraId="5FF3DBA2" w14:textId="77777777" w:rsidR="00FF1573" w:rsidRPr="00FF1573" w:rsidRDefault="00FF1573" w:rsidP="00A94C11">
      <w:pPr>
        <w:pStyle w:val="TM1"/>
        <w:numPr>
          <w:ilvl w:val="0"/>
          <w:numId w:val="18"/>
        </w:numPr>
      </w:pPr>
      <w:r w:rsidRPr="00FF1573">
        <w:t>confirmer par écrit leur acceptation du parcours de mobilité ;</w:t>
      </w:r>
    </w:p>
    <w:p w14:paraId="293DCE43" w14:textId="77777777" w:rsidR="00FF1573" w:rsidRPr="00FF1573" w:rsidRDefault="00FF1573" w:rsidP="00A94C11">
      <w:pPr>
        <w:pStyle w:val="TM1"/>
        <w:numPr>
          <w:ilvl w:val="0"/>
          <w:numId w:val="18"/>
        </w:numPr>
      </w:pPr>
      <w:r w:rsidRPr="00FF1573">
        <w:t>signer la convention de mobilité en entreprise (modèle A ou B) et tout autre document requis.</w:t>
      </w:r>
    </w:p>
    <w:p w14:paraId="3226C4C9" w14:textId="77777777" w:rsidR="00FF1573" w:rsidRPr="000108B5" w:rsidRDefault="00FF1573" w:rsidP="00FF1573">
      <w:pPr>
        <w:pStyle w:val="Titre1"/>
        <w:rPr>
          <w:noProof/>
          <w:lang w:val="fr-FR"/>
        </w:rPr>
      </w:pPr>
      <w:bookmarkStart w:id="8" w:name="_Toc227244589"/>
      <w:r w:rsidRPr="000108B5">
        <w:rPr>
          <w:noProof/>
          <w:lang w:val="fr-FR"/>
        </w:rPr>
        <w:t>ARTICLE 7 – Modalités de versement de la bourse de mobilité</w:t>
      </w:r>
      <w:bookmarkEnd w:id="8"/>
    </w:p>
    <w:p w14:paraId="145833C1" w14:textId="77777777" w:rsidR="00FF1573" w:rsidRPr="00FF1573" w:rsidRDefault="00FF1573" w:rsidP="00A94C11">
      <w:pPr>
        <w:pStyle w:val="TM1"/>
      </w:pPr>
      <w:r w:rsidRPr="00FF1573">
        <w:t>Le présent appel prévoit l’attribution aux 5 participants sélectionnés d’une bourse de mobilité, pour la réalisation d’un parcours de mobilité transfrontalière ou interrégionale en entreprise d’une durée standard de 8 semaines, destinée à couvrir les frais de transport, de restauration, d’hébergement et d’assurance dans le pays de destination.</w:t>
      </w:r>
    </w:p>
    <w:p w14:paraId="4DA03F8C" w14:textId="5B0BBC0C" w:rsidR="00FF1573" w:rsidRPr="00FF1573" w:rsidRDefault="00FF1573" w:rsidP="00A94C11">
      <w:pPr>
        <w:pStyle w:val="TM1"/>
      </w:pPr>
      <w:r w:rsidRPr="00FF1573">
        <w:t xml:space="preserve">Les expériences de mobilité seront réalisées dans le respect des réglementations nationales applicables (France / Italie) en matière de droit du travail, de protection sociale et de sécurité au travail, et seront organisées </w:t>
      </w:r>
      <w:r w:rsidR="00A94C11">
        <w:t>par la CCI Nice Côte d’Azur</w:t>
      </w:r>
      <w:r w:rsidRPr="00FF1573">
        <w:t xml:space="preserve"> en accord avec les entreprises sélectionnées.</w:t>
      </w:r>
    </w:p>
    <w:p w14:paraId="71D2D5C3" w14:textId="77777777" w:rsidR="00A94C11" w:rsidRDefault="00A94C11" w:rsidP="00A94C11">
      <w:pPr>
        <w:pStyle w:val="TM1"/>
      </w:pPr>
    </w:p>
    <w:p w14:paraId="41AAD841" w14:textId="7A3F84B4" w:rsidR="00FF1573" w:rsidRDefault="00FF1573" w:rsidP="00A94C11">
      <w:pPr>
        <w:pStyle w:val="TM1"/>
      </w:pPr>
      <w:r w:rsidRPr="00FF1573">
        <w:lastRenderedPageBreak/>
        <w:t>La bourse de mobilité, non assimilée à une rémunération au sens du Code du travail français, est fixée à 5 600 euros pour l’ensemble de la période de mobilité.</w:t>
      </w:r>
    </w:p>
    <w:p w14:paraId="712D8E26" w14:textId="77777777" w:rsidR="00FF58DA" w:rsidRPr="00FF58DA" w:rsidRDefault="00FF58DA" w:rsidP="00FF58DA"/>
    <w:p w14:paraId="26A337F1" w14:textId="77777777" w:rsidR="00FF1573" w:rsidRPr="00FF1573" w:rsidRDefault="00FF1573" w:rsidP="00A94C11">
      <w:pPr>
        <w:pStyle w:val="TM1"/>
      </w:pPr>
      <w:r w:rsidRPr="00FF1573">
        <w:t>Ce montant est entendu comme comprenant les éventuelles taxes et impôts à la charge des participants, selon la législation fiscale du pays de résidence.</w:t>
      </w:r>
    </w:p>
    <w:p w14:paraId="1D373030" w14:textId="77777777" w:rsidR="00FF1573" w:rsidRPr="00FF1573" w:rsidRDefault="00FF1573" w:rsidP="00A94C11">
      <w:pPr>
        <w:pStyle w:val="TM1"/>
      </w:pPr>
      <w:r w:rsidRPr="00FF1573">
        <w:t>La bourse de mobilité sera versée au participant par virement bancaire en deux tranches, net des éventuels impôts ou taxes dus dans le pays de résidence :</w:t>
      </w:r>
    </w:p>
    <w:p w14:paraId="694057D5" w14:textId="77777777" w:rsidR="00FF1573" w:rsidRPr="00FF1573" w:rsidRDefault="00FF1573" w:rsidP="00A94C11">
      <w:pPr>
        <w:pStyle w:val="TM1"/>
        <w:numPr>
          <w:ilvl w:val="0"/>
          <w:numId w:val="18"/>
        </w:numPr>
      </w:pPr>
      <w:r w:rsidRPr="00FF1573">
        <w:t>1ère tranche – 50 % : au démarrage du parcours de mobilité ;</w:t>
      </w:r>
    </w:p>
    <w:p w14:paraId="647681A2" w14:textId="77777777" w:rsidR="00FF1573" w:rsidRPr="00FF1573" w:rsidRDefault="00FF1573" w:rsidP="00A94C11">
      <w:pPr>
        <w:pStyle w:val="TM1"/>
        <w:numPr>
          <w:ilvl w:val="0"/>
          <w:numId w:val="18"/>
        </w:numPr>
      </w:pPr>
      <w:r w:rsidRPr="00FF1573">
        <w:t>2ème tranche – 50 % : au terme des 8 semaines de mobilité, en solde.</w:t>
      </w:r>
    </w:p>
    <w:p w14:paraId="7738EE60" w14:textId="77777777" w:rsidR="00F7714E" w:rsidRDefault="00F7714E" w:rsidP="00A94C11">
      <w:pPr>
        <w:pStyle w:val="TM1"/>
        <w:numPr>
          <w:ilvl w:val="0"/>
          <w:numId w:val="0"/>
        </w:numPr>
        <w:ind w:left="720"/>
      </w:pPr>
    </w:p>
    <w:p w14:paraId="74C49720" w14:textId="79DEE660" w:rsidR="00FF1573" w:rsidRPr="00FF1573" w:rsidRDefault="00FF1573" w:rsidP="00A94C11">
      <w:pPr>
        <w:pStyle w:val="TM1"/>
        <w:numPr>
          <w:ilvl w:val="0"/>
          <w:numId w:val="0"/>
        </w:numPr>
        <w:ind w:left="720"/>
      </w:pPr>
      <w:r w:rsidRPr="00FF1573">
        <w:t>Pour chaque tranche, le bénéficiaire devra présenter une demande de paiement accompagnée des justificatifs suivants :</w:t>
      </w:r>
    </w:p>
    <w:p w14:paraId="34E69AFD" w14:textId="77777777" w:rsidR="00FF1573" w:rsidRPr="00FF1573" w:rsidRDefault="00FF1573" w:rsidP="00A94C11">
      <w:pPr>
        <w:pStyle w:val="TM1"/>
      </w:pPr>
      <w:r w:rsidRPr="00FF1573">
        <w:t>Pour la 1ère tranche (50 %) :</w:t>
      </w:r>
    </w:p>
    <w:p w14:paraId="0DD4B933" w14:textId="77777777" w:rsidR="00FF1573" w:rsidRDefault="00FF1573" w:rsidP="00A94C11">
      <w:pPr>
        <w:pStyle w:val="TM1"/>
        <w:numPr>
          <w:ilvl w:val="0"/>
          <w:numId w:val="18"/>
        </w:numPr>
      </w:pPr>
      <w:r w:rsidRPr="00FF1573">
        <w:t>déclaration signée par l’entreprise hôte et par le partenaire territorial responsable attestant du démarrage régulier du parcours de mobilité ;</w:t>
      </w:r>
    </w:p>
    <w:p w14:paraId="249A5B7E" w14:textId="77777777" w:rsidR="00A94C11" w:rsidRDefault="00A94C11" w:rsidP="00A94C11"/>
    <w:p w14:paraId="66ED0798" w14:textId="77777777" w:rsidR="00FF1573" w:rsidRPr="00FF1573" w:rsidRDefault="00FF1573" w:rsidP="00A94C11">
      <w:pPr>
        <w:pStyle w:val="TM1"/>
      </w:pPr>
      <w:r w:rsidRPr="00FF1573">
        <w:t>Pour le solde (50 %, en fin de parcours) :</w:t>
      </w:r>
    </w:p>
    <w:p w14:paraId="2E4931AE" w14:textId="77777777" w:rsidR="00FF1573" w:rsidRDefault="00FF1573" w:rsidP="00A94C11">
      <w:pPr>
        <w:pStyle w:val="TM1"/>
        <w:numPr>
          <w:ilvl w:val="0"/>
          <w:numId w:val="18"/>
        </w:numPr>
      </w:pPr>
      <w:r w:rsidRPr="00FF1573">
        <w:t>déclaration signée par l’entreprise hôte et par l’organisation territoriale responsable attestant de l’achèvement régulier du parcours de mobilité.</w:t>
      </w:r>
    </w:p>
    <w:p w14:paraId="421B82BA" w14:textId="77777777" w:rsidR="00A94C11" w:rsidRPr="00A94C11" w:rsidRDefault="00A94C11" w:rsidP="00A94C11"/>
    <w:p w14:paraId="2BA13D74" w14:textId="77777777" w:rsidR="00FF1573" w:rsidRPr="00FF1573" w:rsidRDefault="00FF1573" w:rsidP="00A94C11">
      <w:pPr>
        <w:pStyle w:val="TM1"/>
      </w:pPr>
      <w:r w:rsidRPr="00FF1573">
        <w:t>Les modèles de déclaration seront fournis par le partenaire responsable.</w:t>
      </w:r>
    </w:p>
    <w:p w14:paraId="3D4A689E" w14:textId="77777777" w:rsidR="00FF1573" w:rsidRPr="00FF1573" w:rsidRDefault="00FF1573" w:rsidP="00A94C11">
      <w:pPr>
        <w:pStyle w:val="TM1"/>
      </w:pPr>
      <w:r w:rsidRPr="00FF1573">
        <w:t>Le versement de la bourse de mobilité au bénéficiaire sera effectué conformément aux dispositions de la convention signée entre les parties, notamment en ce qui concerne le respect des obligations définies à l’article 8 relatives à la réalisation intégrale et ponctuelle des activités.</w:t>
      </w:r>
    </w:p>
    <w:p w14:paraId="26A114DF" w14:textId="77777777" w:rsidR="00FF1573" w:rsidRPr="000108B5" w:rsidRDefault="00FF1573" w:rsidP="00FF1573">
      <w:pPr>
        <w:pStyle w:val="Titre1"/>
        <w:rPr>
          <w:noProof/>
          <w:lang w:val="fr-FR"/>
        </w:rPr>
      </w:pPr>
      <w:bookmarkStart w:id="9" w:name="_Toc227244590"/>
      <w:r w:rsidRPr="000108B5">
        <w:rPr>
          <w:noProof/>
          <w:lang w:val="fr-FR"/>
        </w:rPr>
        <w:t>ARTICLE 8 – Obligations des bénéficiaires</w:t>
      </w:r>
      <w:bookmarkEnd w:id="9"/>
    </w:p>
    <w:p w14:paraId="0CAA74B3" w14:textId="4A5F637E" w:rsidR="00FF1573" w:rsidRPr="00FF1573" w:rsidRDefault="00FF1573" w:rsidP="00A94C11">
      <w:pPr>
        <w:pStyle w:val="TM1"/>
      </w:pPr>
      <w:r w:rsidRPr="00FF1573">
        <w:t>Les bénéficiaires sont tenus, sous peine de déchéance totale ou partielle de l’aide financière, de respecter l’ensemble des conditions prévues par l’appel et notamment :</w:t>
      </w:r>
    </w:p>
    <w:p w14:paraId="024BA7A9" w14:textId="77777777" w:rsidR="00FF1573" w:rsidRPr="00FF1573" w:rsidRDefault="00FF1573" w:rsidP="00A94C11">
      <w:pPr>
        <w:pStyle w:val="TM1"/>
        <w:numPr>
          <w:ilvl w:val="0"/>
          <w:numId w:val="18"/>
        </w:numPr>
      </w:pPr>
      <w:r w:rsidRPr="00FF1573">
        <w:t>de fournir, dans les délais et selon les modalités prévues, toute la documentation et les informations nécessaires à la mise en place du parcours de mobilité en entreprise ;</w:t>
      </w:r>
    </w:p>
    <w:p w14:paraId="40ADCA93" w14:textId="77777777" w:rsidR="00FF58DA" w:rsidRDefault="00FF1573" w:rsidP="00A94C11">
      <w:pPr>
        <w:pStyle w:val="TM1"/>
        <w:numPr>
          <w:ilvl w:val="0"/>
          <w:numId w:val="18"/>
        </w:numPr>
      </w:pPr>
      <w:r w:rsidRPr="00FF1573">
        <w:lastRenderedPageBreak/>
        <w:t xml:space="preserve">d’assurer la réalisation intégrale et ponctuelle des activités (avec un nombre total d’absences ne dépassant pas 20 % des heures totales du parcours) conformément au dossier déposé et admis, sauf modifications justifiées par un cas de force majeure </w:t>
      </w:r>
    </w:p>
    <w:p w14:paraId="66FD6B83" w14:textId="5053FA15" w:rsidR="00A94C11" w:rsidRDefault="00FF1573" w:rsidP="00FF58DA">
      <w:pPr>
        <w:pStyle w:val="TM1"/>
        <w:numPr>
          <w:ilvl w:val="0"/>
          <w:numId w:val="0"/>
        </w:numPr>
        <w:ind w:left="720"/>
      </w:pPr>
      <w:r w:rsidRPr="00FF1573">
        <w:t xml:space="preserve">indépendant de la volonté du participant, préalablement autorisées </w:t>
      </w:r>
      <w:r w:rsidR="00A94C11">
        <w:t>par la CCI Nice Côte d’Azur ;</w:t>
      </w:r>
    </w:p>
    <w:p w14:paraId="5CE9F151" w14:textId="48E31312" w:rsidR="00FF1573" w:rsidRPr="00FF1573" w:rsidRDefault="00FF1573" w:rsidP="00A94C11">
      <w:pPr>
        <w:pStyle w:val="TM1"/>
        <w:numPr>
          <w:ilvl w:val="0"/>
          <w:numId w:val="18"/>
        </w:numPr>
      </w:pPr>
      <w:r w:rsidRPr="00FF1573">
        <w:t xml:space="preserve">de signaler sans délai </w:t>
      </w:r>
      <w:r w:rsidR="00A94C11">
        <w:t>à la CCI Nice Côte d’Azur</w:t>
      </w:r>
      <w:r w:rsidR="00A94C11" w:rsidRPr="00FF1573">
        <w:t xml:space="preserve"> </w:t>
      </w:r>
      <w:r w:rsidRPr="00FF1573">
        <w:t>toute modification concernant les informations contenues dans le dossier.</w:t>
      </w:r>
    </w:p>
    <w:p w14:paraId="21E6E94B" w14:textId="021463C1" w:rsidR="00FF1573" w:rsidRPr="00FF1573" w:rsidRDefault="00FF1573" w:rsidP="00A94C11">
      <w:pPr>
        <w:pStyle w:val="TM1"/>
      </w:pPr>
      <w:r w:rsidRPr="00A71302">
        <w:t>Il est précisé par ailleurs que, conformément à l’article 1240 du Code civil français et à l’article L. 211-1 du Code du tourisme, les candidats français devront souscrire une assurance couvrant la Responsabilité Civile et l’assistance Sanitaire et Rapatriement (frais de santé complémentaires à la Carte Européenne d’Assurance Maladie).</w:t>
      </w:r>
    </w:p>
    <w:p w14:paraId="1BD19432" w14:textId="77777777" w:rsidR="00FF1573" w:rsidRPr="000108B5" w:rsidRDefault="00FF1573" w:rsidP="00FF1573">
      <w:pPr>
        <w:pStyle w:val="Titre1"/>
        <w:rPr>
          <w:noProof/>
          <w:lang w:val="fr-FR"/>
        </w:rPr>
      </w:pPr>
      <w:bookmarkStart w:id="10" w:name="_Toc227244591"/>
      <w:r w:rsidRPr="000108B5">
        <w:rPr>
          <w:noProof/>
          <w:lang w:val="fr-FR"/>
        </w:rPr>
        <w:t>ARTICLE 9 – Traitement des données personnelles</w:t>
      </w:r>
      <w:bookmarkEnd w:id="10"/>
    </w:p>
    <w:p w14:paraId="522EF796" w14:textId="77777777" w:rsidR="00FF1573" w:rsidRPr="00FF1573" w:rsidRDefault="00FF1573" w:rsidP="00A94C11">
      <w:pPr>
        <w:pStyle w:val="TM1"/>
      </w:pPr>
      <w:r w:rsidRPr="00FF1573">
        <w:t>Les données personnelles fournies par les candidats seront traitées :</w:t>
      </w:r>
    </w:p>
    <w:p w14:paraId="6EDD22E3" w14:textId="77777777" w:rsidR="00FF1573" w:rsidRPr="00FF1573" w:rsidRDefault="00FF1573" w:rsidP="00A94C11">
      <w:pPr>
        <w:pStyle w:val="TM1"/>
        <w:numPr>
          <w:ilvl w:val="0"/>
          <w:numId w:val="18"/>
        </w:numPr>
      </w:pPr>
      <w:r w:rsidRPr="00FF1573">
        <w:t>conformément au Règlement (UE) 2016/679 (RGPD) et à la loi Informatique et Libertés n° 78-17 du 6 janvier 1978 modifiée ;</w:t>
      </w:r>
    </w:p>
    <w:p w14:paraId="34903FCC" w14:textId="77777777" w:rsidR="00FF1573" w:rsidRPr="00FF1573" w:rsidRDefault="00FF1573" w:rsidP="00A94C11">
      <w:pPr>
        <w:pStyle w:val="TM1"/>
        <w:numPr>
          <w:ilvl w:val="0"/>
          <w:numId w:val="18"/>
        </w:numPr>
      </w:pPr>
      <w:r w:rsidRPr="00FF1573">
        <w:t>exclusivement aux fins de la gestion de la procédure de sélection et de la mise en œuvre des activités de mobilité prévues par le projet DEVELOP ;</w:t>
      </w:r>
    </w:p>
    <w:p w14:paraId="1CEC4D27" w14:textId="77777777" w:rsidR="00FF1573" w:rsidRPr="00FF1573" w:rsidRDefault="00FF1573" w:rsidP="00A94C11">
      <w:pPr>
        <w:pStyle w:val="TM1"/>
        <w:numPr>
          <w:ilvl w:val="0"/>
          <w:numId w:val="18"/>
        </w:numPr>
      </w:pPr>
      <w:r w:rsidRPr="00FF1573">
        <w:t>par le personnel et les collaborateurs expressément habilités par les partenaires du projet, en qualité de responsables ou de co-responsables du traitement.</w:t>
      </w:r>
    </w:p>
    <w:p w14:paraId="515B034A" w14:textId="77777777" w:rsidR="00FF1573" w:rsidRPr="00FF1573" w:rsidRDefault="00FF1573" w:rsidP="00FF58DA">
      <w:pPr>
        <w:pStyle w:val="TM1"/>
        <w:numPr>
          <w:ilvl w:val="0"/>
          <w:numId w:val="0"/>
        </w:numPr>
        <w:ind w:left="720"/>
      </w:pPr>
      <w:r w:rsidRPr="00FF1573">
        <w:t>Les données seront conservées pendant la durée strictement nécessaire à la gestion de la procédure et, en tout état de cause, pas au-delà de 5 ans à compter de la clôture du projet.</w:t>
      </w:r>
    </w:p>
    <w:p w14:paraId="51D0573A" w14:textId="77777777" w:rsidR="00FF1573" w:rsidRPr="00FF1573" w:rsidRDefault="00FF1573" w:rsidP="00A94C11">
      <w:pPr>
        <w:pStyle w:val="TM1"/>
      </w:pPr>
      <w:r w:rsidRPr="00FF1573">
        <w:t>Conformément aux articles 15 à 22 du RGPD, les candidats disposent des droits suivants :</w:t>
      </w:r>
    </w:p>
    <w:p w14:paraId="40AF3A37" w14:textId="77777777" w:rsidR="00FF1573" w:rsidRPr="00FF1573" w:rsidRDefault="00FF1573" w:rsidP="00A94C11">
      <w:pPr>
        <w:pStyle w:val="TM1"/>
        <w:numPr>
          <w:ilvl w:val="0"/>
          <w:numId w:val="18"/>
        </w:numPr>
      </w:pPr>
      <w:r w:rsidRPr="00FF1573">
        <w:t>accéder à leurs données personnelles ;</w:t>
      </w:r>
    </w:p>
    <w:p w14:paraId="1D592A46" w14:textId="77777777" w:rsidR="00FF1573" w:rsidRPr="00FF1573" w:rsidRDefault="00FF1573" w:rsidP="00A94C11">
      <w:pPr>
        <w:pStyle w:val="TM1"/>
        <w:numPr>
          <w:ilvl w:val="0"/>
          <w:numId w:val="18"/>
        </w:numPr>
      </w:pPr>
      <w:r w:rsidRPr="00FF1573">
        <w:t>en demander la rectification ou l’effacement dans les limites prévues par la loi ;</w:t>
      </w:r>
    </w:p>
    <w:p w14:paraId="00B76E30" w14:textId="77777777" w:rsidR="00FF1573" w:rsidRPr="00FF1573" w:rsidRDefault="00FF1573" w:rsidP="00A94C11">
      <w:pPr>
        <w:pStyle w:val="TM1"/>
        <w:numPr>
          <w:ilvl w:val="0"/>
          <w:numId w:val="18"/>
        </w:numPr>
      </w:pPr>
      <w:r w:rsidRPr="00FF1573">
        <w:t>obtenir la limitation du traitement ;</w:t>
      </w:r>
    </w:p>
    <w:p w14:paraId="180AE81A" w14:textId="77777777" w:rsidR="00FF1573" w:rsidRPr="00FF1573" w:rsidRDefault="00FF1573" w:rsidP="00A94C11">
      <w:pPr>
        <w:pStyle w:val="TM1"/>
        <w:numPr>
          <w:ilvl w:val="0"/>
          <w:numId w:val="18"/>
        </w:numPr>
      </w:pPr>
      <w:r w:rsidRPr="00FF1573">
        <w:t>s’opposer au traitement dans les cas prévus ;</w:t>
      </w:r>
    </w:p>
    <w:p w14:paraId="7576FDEB" w14:textId="77777777" w:rsidR="00FF1573" w:rsidRPr="00FF1573" w:rsidRDefault="00FF1573" w:rsidP="00A94C11">
      <w:pPr>
        <w:pStyle w:val="TM1"/>
        <w:numPr>
          <w:ilvl w:val="0"/>
          <w:numId w:val="18"/>
        </w:numPr>
      </w:pPr>
      <w:r w:rsidRPr="00FF1573">
        <w:t>introduire une réclamation auprès de la CNIL (Commission Nationale de l’Informatique et des Libertés) ou de toute autre autorité de contrôle compétente.</w:t>
      </w:r>
    </w:p>
    <w:p w14:paraId="0F560CC8" w14:textId="77777777" w:rsidR="00FF1573" w:rsidRPr="000108B5" w:rsidRDefault="00FF1573" w:rsidP="00FF1573">
      <w:pPr>
        <w:pStyle w:val="Titre1"/>
        <w:rPr>
          <w:noProof/>
          <w:lang w:val="fr-FR"/>
        </w:rPr>
      </w:pPr>
      <w:bookmarkStart w:id="11" w:name="_Toc227244592"/>
      <w:r w:rsidRPr="000108B5">
        <w:rPr>
          <w:noProof/>
          <w:lang w:val="fr-FR"/>
        </w:rPr>
        <w:lastRenderedPageBreak/>
        <w:t>ARTICLE 10 – Contacts</w:t>
      </w:r>
      <w:bookmarkEnd w:id="11"/>
    </w:p>
    <w:p w14:paraId="73350D13" w14:textId="77777777" w:rsidR="00FF1573" w:rsidRPr="00FF1573" w:rsidRDefault="00FF1573" w:rsidP="00A94C11">
      <w:pPr>
        <w:pStyle w:val="TM1"/>
      </w:pPr>
      <w:r w:rsidRPr="00FF1573">
        <w:t>Les communications relatives à la procédure d’évaluation, ainsi que tout autre échange concernant l’état du dossier, seront transmises exclusivement à l’adresse électronique indiquée par le candidat dans les formulaires.</w:t>
      </w:r>
    </w:p>
    <w:p w14:paraId="5543897D" w14:textId="77777777" w:rsidR="00FF1573" w:rsidRPr="00FF1573" w:rsidRDefault="00FF1573" w:rsidP="00A94C11">
      <w:pPr>
        <w:pStyle w:val="TM1"/>
      </w:pPr>
    </w:p>
    <w:p w14:paraId="1AFE565B" w14:textId="32A7B907" w:rsidR="00FF1573" w:rsidRPr="001B6204" w:rsidRDefault="00FF1573" w:rsidP="00A94C11">
      <w:pPr>
        <w:pStyle w:val="TM1"/>
      </w:pPr>
      <w:r w:rsidRPr="00FF1573">
        <w:t>Pour toute information relative à l’appel et pour un éventuel accompagnement dans la constitution du dossier, les contacts suivants sont disponibles :</w:t>
      </w:r>
      <w:r w:rsidR="00A94C11">
        <w:t xml:space="preserve"> CCI Nice </w:t>
      </w:r>
      <w:r w:rsidR="00A94C11" w:rsidRPr="001B6204">
        <w:t xml:space="preserve">Côte d’Azur </w:t>
      </w:r>
      <w:r w:rsidRPr="001B6204">
        <w:t xml:space="preserve">– e-mail : </w:t>
      </w:r>
      <w:r w:rsidR="00A94C11" w:rsidRPr="001B6204">
        <w:t>delphine.turin@cote-azur.cci.fr</w:t>
      </w:r>
      <w:r w:rsidRPr="001B6204">
        <w:t xml:space="preserve"> / tél. : 04.</w:t>
      </w:r>
      <w:r w:rsidR="00A94C11" w:rsidRPr="001B6204">
        <w:t>93.13.73.00</w:t>
      </w:r>
    </w:p>
    <w:p w14:paraId="07D6EB20" w14:textId="77777777" w:rsidR="00FF1573" w:rsidRPr="000108B5" w:rsidRDefault="00FF1573" w:rsidP="00FF1573">
      <w:pPr>
        <w:pStyle w:val="Titre1"/>
        <w:rPr>
          <w:noProof/>
          <w:lang w:val="fr-FR"/>
        </w:rPr>
      </w:pPr>
      <w:bookmarkStart w:id="12" w:name="_Toc227244593"/>
      <w:r w:rsidRPr="000108B5">
        <w:rPr>
          <w:noProof/>
          <w:lang w:val="fr-FR"/>
        </w:rPr>
        <w:t>ARTICLE 11 – Transparence</w:t>
      </w:r>
      <w:bookmarkEnd w:id="12"/>
    </w:p>
    <w:p w14:paraId="5B06D076" w14:textId="77777777" w:rsidR="00FF1573" w:rsidRPr="00FF1573" w:rsidRDefault="00FF1573" w:rsidP="00A94C11">
      <w:pPr>
        <w:pStyle w:val="TM1"/>
      </w:pPr>
      <w:r w:rsidRPr="00FF1573">
        <w:t xml:space="preserve">Les données relatives à l’octroi de subventions, contributions, aides financières et avantages économiques de toute nature à des personnes et des entités publiques ou privées sont publiées sur le site internet </w:t>
      </w:r>
      <w:r w:rsidRPr="001B6204">
        <w:t>de la Chambre de Commerce de Cagliari Oristano (www.caor.camcom.it), dans la rubri</w:t>
      </w:r>
      <w:r w:rsidRPr="00FF1573">
        <w:t>que « Transparence administrative », conformément aux obligations de publicité prévues par les articles 26 et 27 du Décret Législatif n° 33/2013 (loi italienne applicable au titre du co-financement public), ainsi qu’aux dispositions de la loi française n° 2000-321 du 12 avril 2000 relative aux droits des citoyens dans leurs relations avec les administrations.</w:t>
      </w:r>
    </w:p>
    <w:p w14:paraId="6A00DD34" w14:textId="77777777" w:rsidR="00FF1573" w:rsidRPr="000108B5" w:rsidRDefault="00FF1573" w:rsidP="00FF1573">
      <w:pPr>
        <w:pStyle w:val="Titre1"/>
        <w:rPr>
          <w:noProof/>
          <w:lang w:val="fr-FR"/>
        </w:rPr>
      </w:pPr>
      <w:bookmarkStart w:id="13" w:name="_Toc227244594"/>
      <w:r w:rsidRPr="000108B5">
        <w:rPr>
          <w:noProof/>
          <w:lang w:val="fr-FR"/>
        </w:rPr>
        <w:t>ARTICLE 12 – Dispositions finales</w:t>
      </w:r>
      <w:bookmarkEnd w:id="13"/>
    </w:p>
    <w:p w14:paraId="3E32FAC5" w14:textId="77777777" w:rsidR="00FF1573" w:rsidRPr="00FF1573" w:rsidRDefault="00FF1573" w:rsidP="00A94C11">
      <w:pPr>
        <w:pStyle w:val="TM1"/>
      </w:pPr>
      <w:r w:rsidRPr="00FF1573">
        <w:t>Pour tout ce qui n’est pas expressément prévu dans le présent appel, il est renvoyé aux dispositions applicables du droit français, notamment :</w:t>
      </w:r>
    </w:p>
    <w:p w14:paraId="44CB1A1A" w14:textId="0953A7AB" w:rsidR="00FF1573" w:rsidRPr="00FF1573" w:rsidRDefault="00FF1573" w:rsidP="00A94C11">
      <w:pPr>
        <w:pStyle w:val="TM1"/>
        <w:numPr>
          <w:ilvl w:val="0"/>
          <w:numId w:val="18"/>
        </w:numPr>
      </w:pPr>
      <w:r w:rsidRPr="00FF1573">
        <w:t>le Code des relations entre le public et l’administration (CRPA), en particulier ses articles L. 111-1 et suivants relatifs aux procédures de sélection et d’attribution d’aides;</w:t>
      </w:r>
    </w:p>
    <w:p w14:paraId="3EB53CAD" w14:textId="77777777" w:rsidR="00FF1573" w:rsidRPr="00FF1573" w:rsidRDefault="00FF1573" w:rsidP="00A94C11">
      <w:pPr>
        <w:pStyle w:val="TM1"/>
        <w:numPr>
          <w:ilvl w:val="0"/>
          <w:numId w:val="18"/>
        </w:numPr>
      </w:pPr>
      <w:r w:rsidRPr="00FF1573">
        <w:t>la loi n° 2000-321 du 12 avril 2000 relative aux droits des citoyens dans leurs relations avec les administrations ;</w:t>
      </w:r>
    </w:p>
    <w:p w14:paraId="49E57B89" w14:textId="77777777" w:rsidR="00FF1573" w:rsidRPr="00FF1573" w:rsidRDefault="00FF1573" w:rsidP="00A94C11">
      <w:pPr>
        <w:pStyle w:val="TM1"/>
        <w:numPr>
          <w:ilvl w:val="0"/>
          <w:numId w:val="18"/>
        </w:numPr>
      </w:pPr>
      <w:r w:rsidRPr="00FF1573">
        <w:t>les règlements européens applicables au Programme INTERREG Maritime Italie-France 2021-2027 ;</w:t>
      </w:r>
    </w:p>
    <w:p w14:paraId="747AD8FA" w14:textId="1545F42F" w:rsidR="0045322B" w:rsidRPr="000108B5" w:rsidRDefault="00FF1573" w:rsidP="00A94C11">
      <w:pPr>
        <w:pStyle w:val="TM1"/>
        <w:numPr>
          <w:ilvl w:val="0"/>
          <w:numId w:val="18"/>
        </w:numPr>
      </w:pPr>
      <w:r w:rsidRPr="00FF1573">
        <w:t xml:space="preserve">le Règlement </w:t>
      </w:r>
      <w:r w:rsidR="001B6204">
        <w:t>de la</w:t>
      </w:r>
      <w:r w:rsidR="001B6204" w:rsidRPr="001B6204">
        <w:t xml:space="preserve"> </w:t>
      </w:r>
      <w:r w:rsidR="001B6204">
        <w:t xml:space="preserve">CCI Nice </w:t>
      </w:r>
      <w:r w:rsidR="001B6204" w:rsidRPr="001B6204">
        <w:t>Côte d’Azur</w:t>
      </w:r>
      <w:r>
        <w:t xml:space="preserve"> </w:t>
      </w:r>
      <w:r w:rsidRPr="00FF1573">
        <w:t>pour l’octroi de contributions et autres avantages économiques</w:t>
      </w:r>
      <w:r>
        <w:t>.</w:t>
      </w:r>
    </w:p>
    <w:sectPr w:rsidR="0045322B" w:rsidRPr="000108B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50E0F" w14:textId="77777777" w:rsidR="00E052F9" w:rsidRDefault="00E052F9" w:rsidP="0045322B">
      <w:pPr>
        <w:spacing w:after="0" w:line="240" w:lineRule="auto"/>
      </w:pPr>
      <w:r>
        <w:separator/>
      </w:r>
    </w:p>
  </w:endnote>
  <w:endnote w:type="continuationSeparator" w:id="0">
    <w:p w14:paraId="29B32E6C" w14:textId="77777777" w:rsidR="00E052F9" w:rsidRDefault="00E052F9" w:rsidP="00453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42FF" w14:textId="4663A7E6" w:rsidR="0045322B" w:rsidRPr="0045322B" w:rsidRDefault="0045322B" w:rsidP="0045322B">
    <w:pPr>
      <w:pStyle w:val="Pieddepage"/>
    </w:pPr>
  </w:p>
  <w:p w14:paraId="7FE1A60A" w14:textId="49B07B8E" w:rsidR="0045322B" w:rsidRPr="0045322B" w:rsidRDefault="0045322B" w:rsidP="0045322B">
    <w:pPr>
      <w:pStyle w:val="Pieddepage"/>
    </w:pPr>
    <w:r w:rsidRPr="0045322B">
      <w:rPr>
        <w:noProof/>
      </w:rPr>
      <w:drawing>
        <wp:inline distT="0" distB="0" distL="0" distR="0" wp14:anchorId="1280D646" wp14:editId="73A8ED2E">
          <wp:extent cx="5305425" cy="323850"/>
          <wp:effectExtent l="0" t="0" r="9525" b="0"/>
          <wp:docPr id="1213574779" name="Image 7" descr="Une image contenant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74779" name="Image 7" descr="Une image contenant capture d’écran&#10;&#10;Le contenu généré par l’IA peut êtr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4133" t="44227" r="3770" b="41719"/>
                  <a:stretch>
                    <a:fillRect/>
                  </a:stretch>
                </pic:blipFill>
                <pic:spPr bwMode="auto">
                  <a:xfrm>
                    <a:off x="0" y="0"/>
                    <a:ext cx="5305425" cy="32385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3324A" w14:textId="77777777" w:rsidR="00E052F9" w:rsidRDefault="00E052F9" w:rsidP="0045322B">
      <w:pPr>
        <w:spacing w:after="0" w:line="240" w:lineRule="auto"/>
      </w:pPr>
      <w:r>
        <w:separator/>
      </w:r>
    </w:p>
  </w:footnote>
  <w:footnote w:type="continuationSeparator" w:id="0">
    <w:p w14:paraId="23F8E3FE" w14:textId="77777777" w:rsidR="00E052F9" w:rsidRDefault="00E052F9" w:rsidP="00453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CC8D" w14:textId="66EFFA1F" w:rsidR="0045322B" w:rsidRDefault="0045322B">
    <w:pPr>
      <w:pStyle w:val="En-tte"/>
    </w:pPr>
    <w:r>
      <w:rPr>
        <w:noProof/>
      </w:rPr>
      <w:drawing>
        <wp:anchor distT="0" distB="0" distL="114300" distR="114300" simplePos="0" relativeHeight="251658240" behindDoc="0" locked="0" layoutInCell="1" allowOverlap="1" wp14:anchorId="78BA487B" wp14:editId="04A20C0B">
          <wp:simplePos x="0" y="0"/>
          <wp:positionH relativeFrom="column">
            <wp:posOffset>-633095</wp:posOffset>
          </wp:positionH>
          <wp:positionV relativeFrom="paragraph">
            <wp:posOffset>-173355</wp:posOffset>
          </wp:positionV>
          <wp:extent cx="5949228" cy="866775"/>
          <wp:effectExtent l="0" t="0" r="0" b="0"/>
          <wp:wrapSquare wrapText="bothSides"/>
          <wp:docPr id="710514432" name="Image 1" descr="Une image contenant texte, capture d’écran, Police, Bleu électr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514432" name="Image 1" descr="Une image contenant texte, capture d’écran, Police, Bleu électr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228"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4D3E6" w14:textId="77777777" w:rsidR="004E6300" w:rsidRDefault="004E6300">
    <w:pPr>
      <w:pStyle w:val="En-tte"/>
    </w:pPr>
  </w:p>
  <w:p w14:paraId="661592BC" w14:textId="77777777" w:rsidR="004E6300" w:rsidRDefault="004E6300">
    <w:pPr>
      <w:pStyle w:val="En-tte"/>
    </w:pPr>
  </w:p>
  <w:p w14:paraId="2A93BB66" w14:textId="77777777" w:rsidR="001D482B" w:rsidRDefault="001D482B">
    <w:pPr>
      <w:pStyle w:val="En-tte"/>
    </w:pPr>
  </w:p>
  <w:p w14:paraId="59BACEEA" w14:textId="77777777" w:rsidR="001D482B" w:rsidRDefault="001D482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54D"/>
    <w:multiLevelType w:val="multilevel"/>
    <w:tmpl w:val="68E2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E1C23"/>
    <w:multiLevelType w:val="hybridMultilevel"/>
    <w:tmpl w:val="2766DECA"/>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03F163B2"/>
    <w:multiLevelType w:val="hybridMultilevel"/>
    <w:tmpl w:val="D7D800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8D3C86"/>
    <w:multiLevelType w:val="multilevel"/>
    <w:tmpl w:val="3FDC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E858A"/>
    <w:multiLevelType w:val="hybridMultilevel"/>
    <w:tmpl w:val="FFFFFFFF"/>
    <w:lvl w:ilvl="0" w:tplc="A3940E92">
      <w:start w:val="1"/>
      <w:numFmt w:val="lowerLetter"/>
      <w:lvlText w:val="%1."/>
      <w:lvlJc w:val="left"/>
      <w:pPr>
        <w:ind w:left="720" w:hanging="360"/>
      </w:pPr>
    </w:lvl>
    <w:lvl w:ilvl="1" w:tplc="6A1E7092">
      <w:start w:val="1"/>
      <w:numFmt w:val="lowerLetter"/>
      <w:lvlText w:val="%2."/>
      <w:lvlJc w:val="left"/>
      <w:pPr>
        <w:ind w:left="1440" w:hanging="360"/>
      </w:pPr>
    </w:lvl>
    <w:lvl w:ilvl="2" w:tplc="17A43372">
      <w:start w:val="1"/>
      <w:numFmt w:val="lowerRoman"/>
      <w:lvlText w:val="%3."/>
      <w:lvlJc w:val="right"/>
      <w:pPr>
        <w:ind w:left="2160" w:hanging="180"/>
      </w:pPr>
    </w:lvl>
    <w:lvl w:ilvl="3" w:tplc="F8DCC23A">
      <w:start w:val="1"/>
      <w:numFmt w:val="decimal"/>
      <w:lvlText w:val="%4."/>
      <w:lvlJc w:val="left"/>
      <w:pPr>
        <w:ind w:left="2880" w:hanging="360"/>
      </w:pPr>
    </w:lvl>
    <w:lvl w:ilvl="4" w:tplc="C1BCE474">
      <w:start w:val="1"/>
      <w:numFmt w:val="lowerLetter"/>
      <w:lvlText w:val="%5."/>
      <w:lvlJc w:val="left"/>
      <w:pPr>
        <w:ind w:left="3600" w:hanging="360"/>
      </w:pPr>
    </w:lvl>
    <w:lvl w:ilvl="5" w:tplc="CF00DD74">
      <w:start w:val="1"/>
      <w:numFmt w:val="lowerRoman"/>
      <w:lvlText w:val="%6."/>
      <w:lvlJc w:val="right"/>
      <w:pPr>
        <w:ind w:left="4320" w:hanging="180"/>
      </w:pPr>
    </w:lvl>
    <w:lvl w:ilvl="6" w:tplc="62CEF7D0">
      <w:start w:val="1"/>
      <w:numFmt w:val="decimal"/>
      <w:lvlText w:val="%7."/>
      <w:lvlJc w:val="left"/>
      <w:pPr>
        <w:ind w:left="5040" w:hanging="360"/>
      </w:pPr>
    </w:lvl>
    <w:lvl w:ilvl="7" w:tplc="782A3D6E">
      <w:start w:val="1"/>
      <w:numFmt w:val="lowerLetter"/>
      <w:lvlText w:val="%8."/>
      <w:lvlJc w:val="left"/>
      <w:pPr>
        <w:ind w:left="5760" w:hanging="360"/>
      </w:pPr>
    </w:lvl>
    <w:lvl w:ilvl="8" w:tplc="06C86CCA">
      <w:start w:val="1"/>
      <w:numFmt w:val="lowerRoman"/>
      <w:lvlText w:val="%9."/>
      <w:lvlJc w:val="right"/>
      <w:pPr>
        <w:ind w:left="6480" w:hanging="180"/>
      </w:pPr>
    </w:lvl>
  </w:abstractNum>
  <w:abstractNum w:abstractNumId="5" w15:restartNumberingAfterBreak="0">
    <w:nsid w:val="0DFF27A5"/>
    <w:multiLevelType w:val="hybridMultilevel"/>
    <w:tmpl w:val="2A1E12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A2445B"/>
    <w:multiLevelType w:val="hybridMultilevel"/>
    <w:tmpl w:val="6E4E0BD8"/>
    <w:lvl w:ilvl="0" w:tplc="EA401672">
      <w:start w:val="1"/>
      <w:numFmt w:val="bullet"/>
      <w:lvlText w:val="•"/>
      <w:lvlJc w:val="left"/>
      <w:pPr>
        <w:ind w:left="720" w:hanging="360"/>
      </w:pPr>
    </w:lvl>
    <w:lvl w:ilvl="1" w:tplc="B8A8832A">
      <w:numFmt w:val="decimal"/>
      <w:pStyle w:val="TM1"/>
      <w:lvlText w:val=""/>
      <w:lvlJc w:val="left"/>
    </w:lvl>
    <w:lvl w:ilvl="2" w:tplc="35C66F96">
      <w:numFmt w:val="decimal"/>
      <w:lvlText w:val=""/>
      <w:lvlJc w:val="left"/>
    </w:lvl>
    <w:lvl w:ilvl="3" w:tplc="49165F0A">
      <w:numFmt w:val="decimal"/>
      <w:lvlText w:val=""/>
      <w:lvlJc w:val="left"/>
    </w:lvl>
    <w:lvl w:ilvl="4" w:tplc="916C5C40">
      <w:numFmt w:val="decimal"/>
      <w:lvlText w:val=""/>
      <w:lvlJc w:val="left"/>
    </w:lvl>
    <w:lvl w:ilvl="5" w:tplc="5BF8ADE6">
      <w:numFmt w:val="decimal"/>
      <w:lvlText w:val=""/>
      <w:lvlJc w:val="left"/>
    </w:lvl>
    <w:lvl w:ilvl="6" w:tplc="D8828DAE">
      <w:numFmt w:val="decimal"/>
      <w:lvlText w:val=""/>
      <w:lvlJc w:val="left"/>
    </w:lvl>
    <w:lvl w:ilvl="7" w:tplc="B0869DAA">
      <w:numFmt w:val="decimal"/>
      <w:lvlText w:val=""/>
      <w:lvlJc w:val="left"/>
    </w:lvl>
    <w:lvl w:ilvl="8" w:tplc="0F405CDE">
      <w:numFmt w:val="decimal"/>
      <w:lvlText w:val=""/>
      <w:lvlJc w:val="left"/>
    </w:lvl>
  </w:abstractNum>
  <w:abstractNum w:abstractNumId="7" w15:restartNumberingAfterBreak="0">
    <w:nsid w:val="11EE1DF6"/>
    <w:multiLevelType w:val="hybridMultilevel"/>
    <w:tmpl w:val="4F803F4A"/>
    <w:lvl w:ilvl="0" w:tplc="587C249E">
      <w:start w:val="1"/>
      <w:numFmt w:val="bullet"/>
      <w:lvlText w:val="☐"/>
      <w:lvlJc w:val="left"/>
      <w:pPr>
        <w:ind w:left="720" w:hanging="360"/>
      </w:pPr>
    </w:lvl>
    <w:lvl w:ilvl="1" w:tplc="26560750">
      <w:numFmt w:val="decimal"/>
      <w:lvlText w:val=""/>
      <w:lvlJc w:val="left"/>
    </w:lvl>
    <w:lvl w:ilvl="2" w:tplc="C2220BA2">
      <w:numFmt w:val="decimal"/>
      <w:lvlText w:val=""/>
      <w:lvlJc w:val="left"/>
    </w:lvl>
    <w:lvl w:ilvl="3" w:tplc="A5D66F74">
      <w:numFmt w:val="decimal"/>
      <w:lvlText w:val=""/>
      <w:lvlJc w:val="left"/>
    </w:lvl>
    <w:lvl w:ilvl="4" w:tplc="50C404F2">
      <w:numFmt w:val="decimal"/>
      <w:lvlText w:val=""/>
      <w:lvlJc w:val="left"/>
    </w:lvl>
    <w:lvl w:ilvl="5" w:tplc="333AAB40">
      <w:numFmt w:val="decimal"/>
      <w:lvlText w:val=""/>
      <w:lvlJc w:val="left"/>
    </w:lvl>
    <w:lvl w:ilvl="6" w:tplc="444A4F16">
      <w:numFmt w:val="decimal"/>
      <w:lvlText w:val=""/>
      <w:lvlJc w:val="left"/>
    </w:lvl>
    <w:lvl w:ilvl="7" w:tplc="7C40383E">
      <w:numFmt w:val="decimal"/>
      <w:lvlText w:val=""/>
      <w:lvlJc w:val="left"/>
    </w:lvl>
    <w:lvl w:ilvl="8" w:tplc="113C6C6C">
      <w:numFmt w:val="decimal"/>
      <w:lvlText w:val=""/>
      <w:lvlJc w:val="left"/>
    </w:lvl>
  </w:abstractNum>
  <w:abstractNum w:abstractNumId="8" w15:restartNumberingAfterBreak="0">
    <w:nsid w:val="13C77BF9"/>
    <w:multiLevelType w:val="multilevel"/>
    <w:tmpl w:val="2E34F5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73C3E"/>
    <w:multiLevelType w:val="hybridMultilevel"/>
    <w:tmpl w:val="BB30C6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A67D72"/>
    <w:multiLevelType w:val="multilevel"/>
    <w:tmpl w:val="FB023AB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3E6ECB"/>
    <w:multiLevelType w:val="hybridMultilevel"/>
    <w:tmpl w:val="4FF03D4C"/>
    <w:lvl w:ilvl="0" w:tplc="041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58B536E"/>
    <w:multiLevelType w:val="hybridMultilevel"/>
    <w:tmpl w:val="FFFFFFFF"/>
    <w:lvl w:ilvl="0" w:tplc="0D7E10FE">
      <w:start w:val="1"/>
      <w:numFmt w:val="lowerLetter"/>
      <w:lvlText w:val="%1."/>
      <w:lvlJc w:val="left"/>
      <w:pPr>
        <w:ind w:left="720" w:hanging="360"/>
      </w:pPr>
    </w:lvl>
    <w:lvl w:ilvl="1" w:tplc="49F80862">
      <w:start w:val="1"/>
      <w:numFmt w:val="lowerLetter"/>
      <w:lvlText w:val="%2."/>
      <w:lvlJc w:val="left"/>
      <w:pPr>
        <w:ind w:left="1440" w:hanging="360"/>
      </w:pPr>
    </w:lvl>
    <w:lvl w:ilvl="2" w:tplc="DED2BB8E">
      <w:start w:val="1"/>
      <w:numFmt w:val="lowerRoman"/>
      <w:lvlText w:val="%3."/>
      <w:lvlJc w:val="right"/>
      <w:pPr>
        <w:ind w:left="2160" w:hanging="180"/>
      </w:pPr>
    </w:lvl>
    <w:lvl w:ilvl="3" w:tplc="CD723152">
      <w:start w:val="1"/>
      <w:numFmt w:val="decimal"/>
      <w:lvlText w:val="%4."/>
      <w:lvlJc w:val="left"/>
      <w:pPr>
        <w:ind w:left="2880" w:hanging="360"/>
      </w:pPr>
    </w:lvl>
    <w:lvl w:ilvl="4" w:tplc="96C8F0F0">
      <w:start w:val="1"/>
      <w:numFmt w:val="lowerLetter"/>
      <w:lvlText w:val="%5."/>
      <w:lvlJc w:val="left"/>
      <w:pPr>
        <w:ind w:left="3600" w:hanging="360"/>
      </w:pPr>
    </w:lvl>
    <w:lvl w:ilvl="5" w:tplc="D9345794">
      <w:start w:val="1"/>
      <w:numFmt w:val="lowerRoman"/>
      <w:lvlText w:val="%6."/>
      <w:lvlJc w:val="right"/>
      <w:pPr>
        <w:ind w:left="4320" w:hanging="180"/>
      </w:pPr>
    </w:lvl>
    <w:lvl w:ilvl="6" w:tplc="2056080C">
      <w:start w:val="1"/>
      <w:numFmt w:val="decimal"/>
      <w:lvlText w:val="%7."/>
      <w:lvlJc w:val="left"/>
      <w:pPr>
        <w:ind w:left="5040" w:hanging="360"/>
      </w:pPr>
    </w:lvl>
    <w:lvl w:ilvl="7" w:tplc="0B54F776">
      <w:start w:val="1"/>
      <w:numFmt w:val="lowerLetter"/>
      <w:lvlText w:val="%8."/>
      <w:lvlJc w:val="left"/>
      <w:pPr>
        <w:ind w:left="5760" w:hanging="360"/>
      </w:pPr>
    </w:lvl>
    <w:lvl w:ilvl="8" w:tplc="2EFCC1AA">
      <w:start w:val="1"/>
      <w:numFmt w:val="lowerRoman"/>
      <w:lvlText w:val="%9."/>
      <w:lvlJc w:val="right"/>
      <w:pPr>
        <w:ind w:left="6480" w:hanging="180"/>
      </w:pPr>
    </w:lvl>
  </w:abstractNum>
  <w:abstractNum w:abstractNumId="13" w15:restartNumberingAfterBreak="0">
    <w:nsid w:val="4E1B3A48"/>
    <w:multiLevelType w:val="multilevel"/>
    <w:tmpl w:val="18C81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CE1C73"/>
    <w:multiLevelType w:val="multilevel"/>
    <w:tmpl w:val="387C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7CFCD8"/>
    <w:multiLevelType w:val="hybridMultilevel"/>
    <w:tmpl w:val="FFFFFFFF"/>
    <w:lvl w:ilvl="0" w:tplc="29A406C6">
      <w:start w:val="1"/>
      <w:numFmt w:val="bullet"/>
      <w:lvlText w:val=""/>
      <w:lvlJc w:val="left"/>
      <w:pPr>
        <w:ind w:left="1080" w:hanging="360"/>
      </w:pPr>
      <w:rPr>
        <w:rFonts w:ascii="Symbol" w:hAnsi="Symbol" w:hint="default"/>
      </w:rPr>
    </w:lvl>
    <w:lvl w:ilvl="1" w:tplc="4FA02EB8">
      <w:start w:val="1"/>
      <w:numFmt w:val="bullet"/>
      <w:lvlText w:val="o"/>
      <w:lvlJc w:val="left"/>
      <w:pPr>
        <w:ind w:left="1800" w:hanging="360"/>
      </w:pPr>
      <w:rPr>
        <w:rFonts w:ascii="Courier New" w:hAnsi="Courier New" w:hint="default"/>
      </w:rPr>
    </w:lvl>
    <w:lvl w:ilvl="2" w:tplc="AA1C882C">
      <w:start w:val="1"/>
      <w:numFmt w:val="bullet"/>
      <w:lvlText w:val=""/>
      <w:lvlJc w:val="left"/>
      <w:pPr>
        <w:ind w:left="2520" w:hanging="360"/>
      </w:pPr>
      <w:rPr>
        <w:rFonts w:ascii="Wingdings" w:hAnsi="Wingdings" w:hint="default"/>
      </w:rPr>
    </w:lvl>
    <w:lvl w:ilvl="3" w:tplc="9FAC15E2">
      <w:start w:val="1"/>
      <w:numFmt w:val="bullet"/>
      <w:lvlText w:val=""/>
      <w:lvlJc w:val="left"/>
      <w:pPr>
        <w:ind w:left="3240" w:hanging="360"/>
      </w:pPr>
      <w:rPr>
        <w:rFonts w:ascii="Symbol" w:hAnsi="Symbol" w:hint="default"/>
      </w:rPr>
    </w:lvl>
    <w:lvl w:ilvl="4" w:tplc="E2D4912C">
      <w:start w:val="1"/>
      <w:numFmt w:val="bullet"/>
      <w:lvlText w:val="o"/>
      <w:lvlJc w:val="left"/>
      <w:pPr>
        <w:ind w:left="3960" w:hanging="360"/>
      </w:pPr>
      <w:rPr>
        <w:rFonts w:ascii="Courier New" w:hAnsi="Courier New" w:hint="default"/>
      </w:rPr>
    </w:lvl>
    <w:lvl w:ilvl="5" w:tplc="EEE2DB0C">
      <w:start w:val="1"/>
      <w:numFmt w:val="bullet"/>
      <w:lvlText w:val=""/>
      <w:lvlJc w:val="left"/>
      <w:pPr>
        <w:ind w:left="4680" w:hanging="360"/>
      </w:pPr>
      <w:rPr>
        <w:rFonts w:ascii="Wingdings" w:hAnsi="Wingdings" w:hint="default"/>
      </w:rPr>
    </w:lvl>
    <w:lvl w:ilvl="6" w:tplc="E5326BEA">
      <w:start w:val="1"/>
      <w:numFmt w:val="bullet"/>
      <w:lvlText w:val=""/>
      <w:lvlJc w:val="left"/>
      <w:pPr>
        <w:ind w:left="5400" w:hanging="360"/>
      </w:pPr>
      <w:rPr>
        <w:rFonts w:ascii="Symbol" w:hAnsi="Symbol" w:hint="default"/>
      </w:rPr>
    </w:lvl>
    <w:lvl w:ilvl="7" w:tplc="68920C50">
      <w:start w:val="1"/>
      <w:numFmt w:val="bullet"/>
      <w:lvlText w:val="o"/>
      <w:lvlJc w:val="left"/>
      <w:pPr>
        <w:ind w:left="6120" w:hanging="360"/>
      </w:pPr>
      <w:rPr>
        <w:rFonts w:ascii="Courier New" w:hAnsi="Courier New" w:hint="default"/>
      </w:rPr>
    </w:lvl>
    <w:lvl w:ilvl="8" w:tplc="93581518">
      <w:start w:val="1"/>
      <w:numFmt w:val="bullet"/>
      <w:lvlText w:val=""/>
      <w:lvlJc w:val="left"/>
      <w:pPr>
        <w:ind w:left="6840" w:hanging="360"/>
      </w:pPr>
      <w:rPr>
        <w:rFonts w:ascii="Wingdings" w:hAnsi="Wingdings" w:hint="default"/>
      </w:rPr>
    </w:lvl>
  </w:abstractNum>
  <w:abstractNum w:abstractNumId="16" w15:restartNumberingAfterBreak="0">
    <w:nsid w:val="62C85B05"/>
    <w:multiLevelType w:val="hybridMultilevel"/>
    <w:tmpl w:val="48B8424E"/>
    <w:lvl w:ilvl="0" w:tplc="A3940E92">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65C62289"/>
    <w:multiLevelType w:val="multilevel"/>
    <w:tmpl w:val="3BEA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EB6B93"/>
    <w:multiLevelType w:val="hybridMultilevel"/>
    <w:tmpl w:val="FFFFFFFF"/>
    <w:lvl w:ilvl="0" w:tplc="072EC914">
      <w:start w:val="1"/>
      <w:numFmt w:val="bullet"/>
      <w:lvlText w:val=""/>
      <w:lvlJc w:val="left"/>
      <w:pPr>
        <w:ind w:left="720" w:hanging="360"/>
      </w:pPr>
      <w:rPr>
        <w:rFonts w:ascii="Symbol" w:hAnsi="Symbol" w:hint="default"/>
      </w:rPr>
    </w:lvl>
    <w:lvl w:ilvl="1" w:tplc="99D64BE0">
      <w:start w:val="1"/>
      <w:numFmt w:val="bullet"/>
      <w:lvlText w:val="o"/>
      <w:lvlJc w:val="left"/>
      <w:pPr>
        <w:ind w:left="1440" w:hanging="360"/>
      </w:pPr>
      <w:rPr>
        <w:rFonts w:ascii="Courier New" w:hAnsi="Courier New" w:hint="default"/>
      </w:rPr>
    </w:lvl>
    <w:lvl w:ilvl="2" w:tplc="3C5CEC86">
      <w:start w:val="1"/>
      <w:numFmt w:val="bullet"/>
      <w:lvlText w:val=""/>
      <w:lvlJc w:val="left"/>
      <w:pPr>
        <w:ind w:left="2160" w:hanging="360"/>
      </w:pPr>
      <w:rPr>
        <w:rFonts w:ascii="Wingdings" w:hAnsi="Wingdings" w:hint="default"/>
      </w:rPr>
    </w:lvl>
    <w:lvl w:ilvl="3" w:tplc="87B80C30">
      <w:start w:val="1"/>
      <w:numFmt w:val="bullet"/>
      <w:lvlText w:val=""/>
      <w:lvlJc w:val="left"/>
      <w:pPr>
        <w:ind w:left="2880" w:hanging="360"/>
      </w:pPr>
      <w:rPr>
        <w:rFonts w:ascii="Symbol" w:hAnsi="Symbol" w:hint="default"/>
      </w:rPr>
    </w:lvl>
    <w:lvl w:ilvl="4" w:tplc="D858274C">
      <w:start w:val="1"/>
      <w:numFmt w:val="bullet"/>
      <w:lvlText w:val="o"/>
      <w:lvlJc w:val="left"/>
      <w:pPr>
        <w:ind w:left="3600" w:hanging="360"/>
      </w:pPr>
      <w:rPr>
        <w:rFonts w:ascii="Courier New" w:hAnsi="Courier New" w:hint="default"/>
      </w:rPr>
    </w:lvl>
    <w:lvl w:ilvl="5" w:tplc="EC38A0E0">
      <w:start w:val="1"/>
      <w:numFmt w:val="bullet"/>
      <w:lvlText w:val=""/>
      <w:lvlJc w:val="left"/>
      <w:pPr>
        <w:ind w:left="4320" w:hanging="360"/>
      </w:pPr>
      <w:rPr>
        <w:rFonts w:ascii="Wingdings" w:hAnsi="Wingdings" w:hint="default"/>
      </w:rPr>
    </w:lvl>
    <w:lvl w:ilvl="6" w:tplc="3A589060">
      <w:start w:val="1"/>
      <w:numFmt w:val="bullet"/>
      <w:lvlText w:val=""/>
      <w:lvlJc w:val="left"/>
      <w:pPr>
        <w:ind w:left="5040" w:hanging="360"/>
      </w:pPr>
      <w:rPr>
        <w:rFonts w:ascii="Symbol" w:hAnsi="Symbol" w:hint="default"/>
      </w:rPr>
    </w:lvl>
    <w:lvl w:ilvl="7" w:tplc="56F6ACEE">
      <w:start w:val="1"/>
      <w:numFmt w:val="bullet"/>
      <w:lvlText w:val="o"/>
      <w:lvlJc w:val="left"/>
      <w:pPr>
        <w:ind w:left="5760" w:hanging="360"/>
      </w:pPr>
      <w:rPr>
        <w:rFonts w:ascii="Courier New" w:hAnsi="Courier New" w:hint="default"/>
      </w:rPr>
    </w:lvl>
    <w:lvl w:ilvl="8" w:tplc="9594F640">
      <w:start w:val="1"/>
      <w:numFmt w:val="bullet"/>
      <w:lvlText w:val=""/>
      <w:lvlJc w:val="left"/>
      <w:pPr>
        <w:ind w:left="6480" w:hanging="360"/>
      </w:pPr>
      <w:rPr>
        <w:rFonts w:ascii="Wingdings" w:hAnsi="Wingdings" w:hint="default"/>
      </w:rPr>
    </w:lvl>
  </w:abstractNum>
  <w:abstractNum w:abstractNumId="19" w15:restartNumberingAfterBreak="0">
    <w:nsid w:val="6C717365"/>
    <w:multiLevelType w:val="multilevel"/>
    <w:tmpl w:val="7936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6B152C"/>
    <w:multiLevelType w:val="multilevel"/>
    <w:tmpl w:val="CB2C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748202">
    <w:abstractNumId w:val="18"/>
  </w:num>
  <w:num w:numId="2" w16cid:durableId="8410019">
    <w:abstractNumId w:val="4"/>
  </w:num>
  <w:num w:numId="3" w16cid:durableId="352732350">
    <w:abstractNumId w:val="15"/>
  </w:num>
  <w:num w:numId="4" w16cid:durableId="475148328">
    <w:abstractNumId w:val="12"/>
  </w:num>
  <w:num w:numId="5" w16cid:durableId="1019550355">
    <w:abstractNumId w:val="17"/>
  </w:num>
  <w:num w:numId="6" w16cid:durableId="1717972787">
    <w:abstractNumId w:val="10"/>
  </w:num>
  <w:num w:numId="7" w16cid:durableId="1153183673">
    <w:abstractNumId w:val="8"/>
  </w:num>
  <w:num w:numId="8" w16cid:durableId="828597555">
    <w:abstractNumId w:val="20"/>
  </w:num>
  <w:num w:numId="9" w16cid:durableId="1492478791">
    <w:abstractNumId w:val="14"/>
  </w:num>
  <w:num w:numId="10" w16cid:durableId="1085423427">
    <w:abstractNumId w:val="13"/>
  </w:num>
  <w:num w:numId="11" w16cid:durableId="303243072">
    <w:abstractNumId w:val="3"/>
  </w:num>
  <w:num w:numId="12" w16cid:durableId="2136632423">
    <w:abstractNumId w:val="0"/>
  </w:num>
  <w:num w:numId="13" w16cid:durableId="967467768">
    <w:abstractNumId w:val="19"/>
  </w:num>
  <w:num w:numId="14" w16cid:durableId="1650398096">
    <w:abstractNumId w:val="9"/>
  </w:num>
  <w:num w:numId="15" w16cid:durableId="1938324955">
    <w:abstractNumId w:val="2"/>
  </w:num>
  <w:num w:numId="16" w16cid:durableId="863055485">
    <w:abstractNumId w:val="11"/>
  </w:num>
  <w:num w:numId="17" w16cid:durableId="787700762">
    <w:abstractNumId w:val="5"/>
  </w:num>
  <w:num w:numId="18" w16cid:durableId="599679117">
    <w:abstractNumId w:val="6"/>
  </w:num>
  <w:num w:numId="19" w16cid:durableId="1115103319">
    <w:abstractNumId w:val="7"/>
    <w:lvlOverride w:ilvl="0">
      <w:startOverride w:val="1"/>
    </w:lvlOverride>
  </w:num>
  <w:num w:numId="20" w16cid:durableId="111829003">
    <w:abstractNumId w:val="16"/>
  </w:num>
  <w:num w:numId="21" w16cid:durableId="864056611">
    <w:abstractNumId w:val="1"/>
  </w:num>
  <w:num w:numId="22" w16cid:durableId="198288322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2B"/>
    <w:rsid w:val="000108B5"/>
    <w:rsid w:val="000259D1"/>
    <w:rsid w:val="000355EB"/>
    <w:rsid w:val="000443F0"/>
    <w:rsid w:val="0006102D"/>
    <w:rsid w:val="00061C44"/>
    <w:rsid w:val="00063C19"/>
    <w:rsid w:val="00073493"/>
    <w:rsid w:val="00073725"/>
    <w:rsid w:val="00091942"/>
    <w:rsid w:val="000A2453"/>
    <w:rsid w:val="000D141C"/>
    <w:rsid w:val="000D219B"/>
    <w:rsid w:val="000D4014"/>
    <w:rsid w:val="000E3917"/>
    <w:rsid w:val="000E66CA"/>
    <w:rsid w:val="001103D0"/>
    <w:rsid w:val="00120CE6"/>
    <w:rsid w:val="00133089"/>
    <w:rsid w:val="0015457B"/>
    <w:rsid w:val="001A7B31"/>
    <w:rsid w:val="001B6204"/>
    <w:rsid w:val="001C6CCC"/>
    <w:rsid w:val="001D057F"/>
    <w:rsid w:val="001D482B"/>
    <w:rsid w:val="001D4C2A"/>
    <w:rsid w:val="001E46B2"/>
    <w:rsid w:val="001F4C63"/>
    <w:rsid w:val="00214758"/>
    <w:rsid w:val="00217B9C"/>
    <w:rsid w:val="002255BF"/>
    <w:rsid w:val="00232279"/>
    <w:rsid w:val="00235043"/>
    <w:rsid w:val="00247526"/>
    <w:rsid w:val="0026531F"/>
    <w:rsid w:val="00267FBD"/>
    <w:rsid w:val="00273378"/>
    <w:rsid w:val="002778F6"/>
    <w:rsid w:val="0028047B"/>
    <w:rsid w:val="002848BF"/>
    <w:rsid w:val="00290A4B"/>
    <w:rsid w:val="00297370"/>
    <w:rsid w:val="002B07BF"/>
    <w:rsid w:val="002B25D5"/>
    <w:rsid w:val="002C0911"/>
    <w:rsid w:val="002C409D"/>
    <w:rsid w:val="002C5336"/>
    <w:rsid w:val="002D1FD2"/>
    <w:rsid w:val="002E630F"/>
    <w:rsid w:val="00302B9C"/>
    <w:rsid w:val="0031105D"/>
    <w:rsid w:val="00312EFB"/>
    <w:rsid w:val="00323A64"/>
    <w:rsid w:val="00335827"/>
    <w:rsid w:val="00337F7F"/>
    <w:rsid w:val="00357B07"/>
    <w:rsid w:val="00365072"/>
    <w:rsid w:val="0036689F"/>
    <w:rsid w:val="003834F1"/>
    <w:rsid w:val="0039267E"/>
    <w:rsid w:val="003A4780"/>
    <w:rsid w:val="003B31BF"/>
    <w:rsid w:val="003C3F00"/>
    <w:rsid w:val="003D21AF"/>
    <w:rsid w:val="003E74CC"/>
    <w:rsid w:val="003F07AC"/>
    <w:rsid w:val="003F471C"/>
    <w:rsid w:val="003F5C5F"/>
    <w:rsid w:val="00404FE6"/>
    <w:rsid w:val="00412CE5"/>
    <w:rsid w:val="00436172"/>
    <w:rsid w:val="0045322B"/>
    <w:rsid w:val="004549D4"/>
    <w:rsid w:val="00466AFB"/>
    <w:rsid w:val="00470B1B"/>
    <w:rsid w:val="00474998"/>
    <w:rsid w:val="00476258"/>
    <w:rsid w:val="004915B2"/>
    <w:rsid w:val="004A0754"/>
    <w:rsid w:val="004B424C"/>
    <w:rsid w:val="004E6300"/>
    <w:rsid w:val="00500864"/>
    <w:rsid w:val="00500F32"/>
    <w:rsid w:val="00503D3D"/>
    <w:rsid w:val="00510EF7"/>
    <w:rsid w:val="005123C4"/>
    <w:rsid w:val="00517FD8"/>
    <w:rsid w:val="005200CD"/>
    <w:rsid w:val="005350CC"/>
    <w:rsid w:val="00535D39"/>
    <w:rsid w:val="00543566"/>
    <w:rsid w:val="00561847"/>
    <w:rsid w:val="00563DB8"/>
    <w:rsid w:val="00564431"/>
    <w:rsid w:val="005747C6"/>
    <w:rsid w:val="00582255"/>
    <w:rsid w:val="005845ED"/>
    <w:rsid w:val="00584E35"/>
    <w:rsid w:val="005857CE"/>
    <w:rsid w:val="00586408"/>
    <w:rsid w:val="00593427"/>
    <w:rsid w:val="005A4B17"/>
    <w:rsid w:val="005B2D31"/>
    <w:rsid w:val="005C5CEA"/>
    <w:rsid w:val="005D24F0"/>
    <w:rsid w:val="005D319D"/>
    <w:rsid w:val="005D3974"/>
    <w:rsid w:val="005E6C51"/>
    <w:rsid w:val="006211C6"/>
    <w:rsid w:val="00627750"/>
    <w:rsid w:val="006312CF"/>
    <w:rsid w:val="00653D05"/>
    <w:rsid w:val="0065634D"/>
    <w:rsid w:val="006849DF"/>
    <w:rsid w:val="00690911"/>
    <w:rsid w:val="00694EAB"/>
    <w:rsid w:val="006A7B16"/>
    <w:rsid w:val="006B3854"/>
    <w:rsid w:val="006B64DE"/>
    <w:rsid w:val="006C069C"/>
    <w:rsid w:val="006C3932"/>
    <w:rsid w:val="006C3CDA"/>
    <w:rsid w:val="006D68B6"/>
    <w:rsid w:val="006E33B7"/>
    <w:rsid w:val="006E6056"/>
    <w:rsid w:val="006E6CF8"/>
    <w:rsid w:val="0070265C"/>
    <w:rsid w:val="00723E8A"/>
    <w:rsid w:val="00740443"/>
    <w:rsid w:val="00750C56"/>
    <w:rsid w:val="00761B7D"/>
    <w:rsid w:val="00761D15"/>
    <w:rsid w:val="00765C6C"/>
    <w:rsid w:val="00766E1E"/>
    <w:rsid w:val="00793372"/>
    <w:rsid w:val="00795916"/>
    <w:rsid w:val="00795B3B"/>
    <w:rsid w:val="007A7DCB"/>
    <w:rsid w:val="007C32D1"/>
    <w:rsid w:val="007C522D"/>
    <w:rsid w:val="007C58B7"/>
    <w:rsid w:val="007E3466"/>
    <w:rsid w:val="00823F05"/>
    <w:rsid w:val="0083505C"/>
    <w:rsid w:val="00836752"/>
    <w:rsid w:val="00847728"/>
    <w:rsid w:val="00861375"/>
    <w:rsid w:val="00896568"/>
    <w:rsid w:val="008A0836"/>
    <w:rsid w:val="008B3D58"/>
    <w:rsid w:val="008C27E6"/>
    <w:rsid w:val="008C4F82"/>
    <w:rsid w:val="008E00CF"/>
    <w:rsid w:val="008F2DC9"/>
    <w:rsid w:val="008F54F9"/>
    <w:rsid w:val="0090108E"/>
    <w:rsid w:val="00905ACB"/>
    <w:rsid w:val="00905EAA"/>
    <w:rsid w:val="00913956"/>
    <w:rsid w:val="00916EC9"/>
    <w:rsid w:val="009226BF"/>
    <w:rsid w:val="009371C2"/>
    <w:rsid w:val="00943446"/>
    <w:rsid w:val="009442C7"/>
    <w:rsid w:val="00947394"/>
    <w:rsid w:val="00955946"/>
    <w:rsid w:val="00956DF4"/>
    <w:rsid w:val="0096569D"/>
    <w:rsid w:val="00974366"/>
    <w:rsid w:val="009B241D"/>
    <w:rsid w:val="009B6B36"/>
    <w:rsid w:val="009D582A"/>
    <w:rsid w:val="009F02E4"/>
    <w:rsid w:val="009F07F9"/>
    <w:rsid w:val="009F7EB9"/>
    <w:rsid w:val="00A000B1"/>
    <w:rsid w:val="00A03734"/>
    <w:rsid w:val="00A04DAC"/>
    <w:rsid w:val="00A22A22"/>
    <w:rsid w:val="00A33D49"/>
    <w:rsid w:val="00A60584"/>
    <w:rsid w:val="00A64D94"/>
    <w:rsid w:val="00A70A46"/>
    <w:rsid w:val="00A71302"/>
    <w:rsid w:val="00A72FBF"/>
    <w:rsid w:val="00A94C11"/>
    <w:rsid w:val="00A97DCE"/>
    <w:rsid w:val="00AB2D8A"/>
    <w:rsid w:val="00AC2C28"/>
    <w:rsid w:val="00AC605D"/>
    <w:rsid w:val="00AF31DB"/>
    <w:rsid w:val="00AF77B8"/>
    <w:rsid w:val="00B1270D"/>
    <w:rsid w:val="00B36CAA"/>
    <w:rsid w:val="00B40563"/>
    <w:rsid w:val="00B42F58"/>
    <w:rsid w:val="00B478DE"/>
    <w:rsid w:val="00B625C1"/>
    <w:rsid w:val="00B71ECB"/>
    <w:rsid w:val="00B72E77"/>
    <w:rsid w:val="00BA2164"/>
    <w:rsid w:val="00BB2B2C"/>
    <w:rsid w:val="00BC1E87"/>
    <w:rsid w:val="00BD0EBD"/>
    <w:rsid w:val="00BD6DA5"/>
    <w:rsid w:val="00BF37E5"/>
    <w:rsid w:val="00C10ADE"/>
    <w:rsid w:val="00C133D1"/>
    <w:rsid w:val="00C357A0"/>
    <w:rsid w:val="00C36CC4"/>
    <w:rsid w:val="00C436B0"/>
    <w:rsid w:val="00C470E6"/>
    <w:rsid w:val="00C70CA6"/>
    <w:rsid w:val="00C83C9B"/>
    <w:rsid w:val="00C85E81"/>
    <w:rsid w:val="00CA1FF5"/>
    <w:rsid w:val="00CA4FFF"/>
    <w:rsid w:val="00CB3343"/>
    <w:rsid w:val="00CB7216"/>
    <w:rsid w:val="00CC44A9"/>
    <w:rsid w:val="00CC69A7"/>
    <w:rsid w:val="00CC7193"/>
    <w:rsid w:val="00CE0D36"/>
    <w:rsid w:val="00CE195F"/>
    <w:rsid w:val="00CE256A"/>
    <w:rsid w:val="00CF1053"/>
    <w:rsid w:val="00D01BC1"/>
    <w:rsid w:val="00D114F7"/>
    <w:rsid w:val="00D12D65"/>
    <w:rsid w:val="00D203B5"/>
    <w:rsid w:val="00D248EF"/>
    <w:rsid w:val="00D41553"/>
    <w:rsid w:val="00D433C9"/>
    <w:rsid w:val="00D45D76"/>
    <w:rsid w:val="00D57EF4"/>
    <w:rsid w:val="00D63A64"/>
    <w:rsid w:val="00D72BC2"/>
    <w:rsid w:val="00D86BA2"/>
    <w:rsid w:val="00DA1168"/>
    <w:rsid w:val="00DA6249"/>
    <w:rsid w:val="00DC4004"/>
    <w:rsid w:val="00DC6688"/>
    <w:rsid w:val="00DE1A9D"/>
    <w:rsid w:val="00DE245C"/>
    <w:rsid w:val="00DF12E0"/>
    <w:rsid w:val="00DF5EC1"/>
    <w:rsid w:val="00E052F9"/>
    <w:rsid w:val="00E10B9C"/>
    <w:rsid w:val="00E20C89"/>
    <w:rsid w:val="00E252D8"/>
    <w:rsid w:val="00E313F4"/>
    <w:rsid w:val="00E369D0"/>
    <w:rsid w:val="00E47CF0"/>
    <w:rsid w:val="00E53D00"/>
    <w:rsid w:val="00E83F42"/>
    <w:rsid w:val="00E87CE9"/>
    <w:rsid w:val="00EA05B2"/>
    <w:rsid w:val="00EA0833"/>
    <w:rsid w:val="00EB04BD"/>
    <w:rsid w:val="00EB39E2"/>
    <w:rsid w:val="00EE1A34"/>
    <w:rsid w:val="00EE26C7"/>
    <w:rsid w:val="00EE56F5"/>
    <w:rsid w:val="00F03584"/>
    <w:rsid w:val="00F0404A"/>
    <w:rsid w:val="00F11006"/>
    <w:rsid w:val="00F2077F"/>
    <w:rsid w:val="00F43A5B"/>
    <w:rsid w:val="00F64A34"/>
    <w:rsid w:val="00F7714E"/>
    <w:rsid w:val="00F829C4"/>
    <w:rsid w:val="00F87068"/>
    <w:rsid w:val="00F870D2"/>
    <w:rsid w:val="00F92048"/>
    <w:rsid w:val="00F96803"/>
    <w:rsid w:val="00FA02F6"/>
    <w:rsid w:val="00FB285F"/>
    <w:rsid w:val="00FB2BA3"/>
    <w:rsid w:val="00FC56A6"/>
    <w:rsid w:val="00FD5E43"/>
    <w:rsid w:val="00FD6057"/>
    <w:rsid w:val="00FF1573"/>
    <w:rsid w:val="00FF58DA"/>
    <w:rsid w:val="015B2D73"/>
    <w:rsid w:val="022D29A2"/>
    <w:rsid w:val="0371F918"/>
    <w:rsid w:val="043E2F3C"/>
    <w:rsid w:val="05647A2A"/>
    <w:rsid w:val="071D8999"/>
    <w:rsid w:val="0AD1C634"/>
    <w:rsid w:val="0C26DA5E"/>
    <w:rsid w:val="0DB70CC4"/>
    <w:rsid w:val="0E8D6DC1"/>
    <w:rsid w:val="13916737"/>
    <w:rsid w:val="1A54292A"/>
    <w:rsid w:val="1D1EE35A"/>
    <w:rsid w:val="1D606068"/>
    <w:rsid w:val="1E939B57"/>
    <w:rsid w:val="204B5689"/>
    <w:rsid w:val="20BE73FF"/>
    <w:rsid w:val="24A42974"/>
    <w:rsid w:val="29E0F395"/>
    <w:rsid w:val="29EE57EF"/>
    <w:rsid w:val="2D3166D3"/>
    <w:rsid w:val="3151D2AD"/>
    <w:rsid w:val="3334F79A"/>
    <w:rsid w:val="3337B686"/>
    <w:rsid w:val="33E3F709"/>
    <w:rsid w:val="36202EC6"/>
    <w:rsid w:val="36FDB7E7"/>
    <w:rsid w:val="37E77182"/>
    <w:rsid w:val="3A1CBE5A"/>
    <w:rsid w:val="3A365F1A"/>
    <w:rsid w:val="3AD7C3B5"/>
    <w:rsid w:val="40212E09"/>
    <w:rsid w:val="43C65991"/>
    <w:rsid w:val="44325EB5"/>
    <w:rsid w:val="446E4A1D"/>
    <w:rsid w:val="44C58BF6"/>
    <w:rsid w:val="44D0BBDA"/>
    <w:rsid w:val="45205861"/>
    <w:rsid w:val="4980C498"/>
    <w:rsid w:val="49C6C7D3"/>
    <w:rsid w:val="49D98DE7"/>
    <w:rsid w:val="49F3BFD2"/>
    <w:rsid w:val="49F66C7D"/>
    <w:rsid w:val="4A2388EA"/>
    <w:rsid w:val="4BEEDBCA"/>
    <w:rsid w:val="4CD60C45"/>
    <w:rsid w:val="4DE3C87F"/>
    <w:rsid w:val="4E4B8404"/>
    <w:rsid w:val="4F248BFE"/>
    <w:rsid w:val="4F8D9A68"/>
    <w:rsid w:val="4FF0F72F"/>
    <w:rsid w:val="50F85812"/>
    <w:rsid w:val="51045AD1"/>
    <w:rsid w:val="57E2EEAA"/>
    <w:rsid w:val="58E93273"/>
    <w:rsid w:val="5A5B1300"/>
    <w:rsid w:val="5D0C74C8"/>
    <w:rsid w:val="5D4055A4"/>
    <w:rsid w:val="6279F8BB"/>
    <w:rsid w:val="639B6322"/>
    <w:rsid w:val="660C84EC"/>
    <w:rsid w:val="67CDA31C"/>
    <w:rsid w:val="67F6F4CC"/>
    <w:rsid w:val="6968DD5C"/>
    <w:rsid w:val="72197973"/>
    <w:rsid w:val="72EDA247"/>
    <w:rsid w:val="7441114B"/>
    <w:rsid w:val="75291539"/>
    <w:rsid w:val="7707BD75"/>
    <w:rsid w:val="7CD9F932"/>
    <w:rsid w:val="7D2D8D3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14E50"/>
  <w15:chartTrackingRefBased/>
  <w15:docId w15:val="{9E576867-85D0-49CA-B6EF-1554B242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8A0836"/>
    <w:pPr>
      <w:keepNext/>
      <w:keepLines/>
      <w:spacing w:before="360" w:after="80"/>
      <w:outlineLvl w:val="0"/>
    </w:pPr>
    <w:rPr>
      <w:rFonts w:asciiTheme="majorHAnsi" w:eastAsiaTheme="majorEastAsia" w:hAnsiTheme="majorHAnsi" w:cstheme="majorBidi"/>
      <w:b/>
      <w:color w:val="000000" w:themeColor="text1"/>
      <w:sz w:val="32"/>
      <w:szCs w:val="36"/>
      <w:lang w:val="it-IT"/>
    </w:rPr>
  </w:style>
  <w:style w:type="paragraph" w:styleId="Titre2">
    <w:name w:val="heading 2"/>
    <w:basedOn w:val="Normal"/>
    <w:next w:val="Normal"/>
    <w:link w:val="Titre2Car"/>
    <w:autoRedefine/>
    <w:uiPriority w:val="9"/>
    <w:unhideWhenUsed/>
    <w:qFormat/>
    <w:rsid w:val="00312EFB"/>
    <w:pPr>
      <w:keepNext/>
      <w:keepLines/>
      <w:spacing w:before="160" w:after="80"/>
      <w:outlineLvl w:val="1"/>
    </w:pPr>
    <w:rPr>
      <w:rFonts w:asciiTheme="majorHAnsi" w:eastAsiaTheme="majorEastAsia" w:hAnsiTheme="majorHAnsi" w:cstheme="majorBidi"/>
      <w:b/>
      <w:color w:val="0070C0"/>
      <w:sz w:val="28"/>
      <w:szCs w:val="32"/>
      <w:lang w:val="it-IT"/>
    </w:rPr>
  </w:style>
  <w:style w:type="paragraph" w:styleId="Titre3">
    <w:name w:val="heading 3"/>
    <w:basedOn w:val="Normal"/>
    <w:next w:val="Normal"/>
    <w:link w:val="Titre3Car"/>
    <w:uiPriority w:val="9"/>
    <w:semiHidden/>
    <w:unhideWhenUsed/>
    <w:qFormat/>
    <w:rsid w:val="0045322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5322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5322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5322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5322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5322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5322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49F3BFD2"/>
    <w:rPr>
      <w:rFonts w:asciiTheme="majorHAnsi" w:eastAsiaTheme="majorEastAsia" w:hAnsiTheme="majorHAnsi" w:cstheme="majorBidi"/>
      <w:b/>
      <w:bCs/>
      <w:color w:val="000000" w:themeColor="text1"/>
      <w:sz w:val="32"/>
      <w:szCs w:val="32"/>
      <w:lang w:val="it-IT"/>
    </w:rPr>
  </w:style>
  <w:style w:type="character" w:customStyle="1" w:styleId="Titre2Car">
    <w:name w:val="Titre 2 Car"/>
    <w:link w:val="Titre2"/>
    <w:uiPriority w:val="9"/>
    <w:rsid w:val="00312EFB"/>
    <w:rPr>
      <w:rFonts w:asciiTheme="majorHAnsi" w:eastAsiaTheme="majorEastAsia" w:hAnsiTheme="majorHAnsi" w:cstheme="majorBidi"/>
      <w:b/>
      <w:color w:val="0070C0"/>
      <w:sz w:val="28"/>
      <w:szCs w:val="32"/>
      <w:lang w:val="it-IT"/>
    </w:rPr>
  </w:style>
  <w:style w:type="character" w:customStyle="1" w:styleId="Titre3Car">
    <w:name w:val="Titre 3 Car"/>
    <w:link w:val="Titre3"/>
    <w:uiPriority w:val="9"/>
    <w:semiHidden/>
    <w:rsid w:val="49F3BFD2"/>
    <w:rPr>
      <w:rFonts w:eastAsiaTheme="majorEastAsia" w:cstheme="majorBidi"/>
      <w:color w:val="2F5496" w:themeColor="accent1" w:themeShade="BF"/>
      <w:sz w:val="28"/>
      <w:szCs w:val="28"/>
    </w:rPr>
  </w:style>
  <w:style w:type="character" w:customStyle="1" w:styleId="Titre4Car">
    <w:name w:val="Titre 4 Car"/>
    <w:link w:val="Titre4"/>
    <w:uiPriority w:val="9"/>
    <w:semiHidden/>
    <w:rsid w:val="49F3BFD2"/>
    <w:rPr>
      <w:rFonts w:eastAsiaTheme="majorEastAsia" w:cstheme="majorBidi"/>
      <w:i/>
      <w:iCs/>
      <w:color w:val="2F5496" w:themeColor="accent1" w:themeShade="BF"/>
    </w:rPr>
  </w:style>
  <w:style w:type="character" w:customStyle="1" w:styleId="Titre5Car">
    <w:name w:val="Titre 5 Car"/>
    <w:link w:val="Titre5"/>
    <w:uiPriority w:val="9"/>
    <w:semiHidden/>
    <w:rsid w:val="49F3BFD2"/>
    <w:rPr>
      <w:rFonts w:eastAsiaTheme="majorEastAsia" w:cstheme="majorBidi"/>
      <w:color w:val="2F5496" w:themeColor="accent1" w:themeShade="BF"/>
    </w:rPr>
  </w:style>
  <w:style w:type="character" w:customStyle="1" w:styleId="Titre6Car">
    <w:name w:val="Titre 6 Car"/>
    <w:link w:val="Titre6"/>
    <w:uiPriority w:val="9"/>
    <w:semiHidden/>
    <w:rsid w:val="49F3BFD2"/>
    <w:rPr>
      <w:rFonts w:eastAsiaTheme="majorEastAsia" w:cstheme="majorBidi"/>
      <w:i/>
      <w:iCs/>
      <w:color w:val="595959" w:themeColor="text1" w:themeTint="A6"/>
    </w:rPr>
  </w:style>
  <w:style w:type="character" w:customStyle="1" w:styleId="Titre7Car">
    <w:name w:val="Titre 7 Car"/>
    <w:link w:val="Titre7"/>
    <w:uiPriority w:val="9"/>
    <w:semiHidden/>
    <w:rsid w:val="49F3BFD2"/>
    <w:rPr>
      <w:rFonts w:eastAsiaTheme="majorEastAsia" w:cstheme="majorBidi"/>
      <w:color w:val="595959" w:themeColor="text1" w:themeTint="A6"/>
    </w:rPr>
  </w:style>
  <w:style w:type="character" w:customStyle="1" w:styleId="Titre8Car">
    <w:name w:val="Titre 8 Car"/>
    <w:link w:val="Titre8"/>
    <w:uiPriority w:val="9"/>
    <w:semiHidden/>
    <w:rsid w:val="49F3BFD2"/>
    <w:rPr>
      <w:rFonts w:eastAsiaTheme="majorEastAsia" w:cstheme="majorBidi"/>
      <w:i/>
      <w:iCs/>
      <w:color w:val="272727"/>
    </w:rPr>
  </w:style>
  <w:style w:type="character" w:customStyle="1" w:styleId="Titre9Car">
    <w:name w:val="Titre 9 Car"/>
    <w:link w:val="Titre9"/>
    <w:uiPriority w:val="9"/>
    <w:semiHidden/>
    <w:rsid w:val="49F3BFD2"/>
    <w:rPr>
      <w:rFonts w:eastAsiaTheme="majorEastAsia" w:cstheme="majorBidi"/>
      <w:color w:val="272727"/>
    </w:rPr>
  </w:style>
  <w:style w:type="paragraph" w:styleId="Titre">
    <w:name w:val="Title"/>
    <w:basedOn w:val="Normal"/>
    <w:next w:val="Normal"/>
    <w:link w:val="TitreCar"/>
    <w:uiPriority w:val="10"/>
    <w:qFormat/>
    <w:rsid w:val="00453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link w:val="Titre"/>
    <w:uiPriority w:val="10"/>
    <w:rsid w:val="49F3BFD2"/>
    <w:rPr>
      <w:rFonts w:asciiTheme="majorHAnsi" w:eastAsiaTheme="majorEastAsia" w:hAnsiTheme="majorHAnsi" w:cstheme="majorBidi"/>
      <w:sz w:val="56"/>
      <w:szCs w:val="56"/>
    </w:rPr>
  </w:style>
  <w:style w:type="paragraph" w:styleId="Sous-titre">
    <w:name w:val="Subtitle"/>
    <w:basedOn w:val="Normal"/>
    <w:next w:val="Normal"/>
    <w:link w:val="Sous-titreCar"/>
    <w:uiPriority w:val="11"/>
    <w:qFormat/>
    <w:rsid w:val="0045322B"/>
    <w:pPr>
      <w:numPr>
        <w:ilvl w:val="1"/>
      </w:numPr>
    </w:pPr>
    <w:rPr>
      <w:rFonts w:eastAsiaTheme="majorEastAsia" w:cstheme="majorBidi"/>
      <w:color w:val="595959" w:themeColor="text1" w:themeTint="A6"/>
      <w:spacing w:val="15"/>
      <w:sz w:val="28"/>
      <w:szCs w:val="28"/>
    </w:rPr>
  </w:style>
  <w:style w:type="character" w:customStyle="1" w:styleId="Sous-titreCar">
    <w:name w:val="Sous-titre Car"/>
    <w:link w:val="Sous-titre"/>
    <w:uiPriority w:val="11"/>
    <w:rsid w:val="49F3BFD2"/>
    <w:rPr>
      <w:rFonts w:eastAsiaTheme="majorEastAsia" w:cstheme="majorBidi"/>
      <w:color w:val="595959" w:themeColor="text1" w:themeTint="A6"/>
      <w:sz w:val="28"/>
      <w:szCs w:val="28"/>
    </w:rPr>
  </w:style>
  <w:style w:type="paragraph" w:styleId="Citation">
    <w:name w:val="Quote"/>
    <w:basedOn w:val="Normal"/>
    <w:next w:val="Normal"/>
    <w:link w:val="CitationCar"/>
    <w:uiPriority w:val="29"/>
    <w:qFormat/>
    <w:rsid w:val="0045322B"/>
    <w:pPr>
      <w:spacing w:before="160"/>
      <w:jc w:val="center"/>
    </w:pPr>
    <w:rPr>
      <w:i/>
      <w:iCs/>
      <w:color w:val="404040" w:themeColor="text1" w:themeTint="BF"/>
    </w:rPr>
  </w:style>
  <w:style w:type="character" w:customStyle="1" w:styleId="CitationCar">
    <w:name w:val="Citation Car"/>
    <w:link w:val="Citation"/>
    <w:uiPriority w:val="29"/>
    <w:rsid w:val="49F3BFD2"/>
    <w:rPr>
      <w:i/>
      <w:iCs/>
      <w:color w:val="404040" w:themeColor="text1" w:themeTint="BF"/>
    </w:rPr>
  </w:style>
  <w:style w:type="paragraph" w:styleId="Paragraphedeliste">
    <w:name w:val="List Paragraph"/>
    <w:basedOn w:val="Normal"/>
    <w:uiPriority w:val="34"/>
    <w:qFormat/>
    <w:rsid w:val="0045322B"/>
    <w:pPr>
      <w:ind w:left="720"/>
      <w:contextualSpacing/>
    </w:pPr>
  </w:style>
  <w:style w:type="character" w:styleId="Accentuationintense">
    <w:name w:val="Intense Emphasis"/>
    <w:uiPriority w:val="21"/>
    <w:qFormat/>
    <w:rsid w:val="49F3BFD2"/>
    <w:rPr>
      <w:i/>
      <w:iCs/>
      <w:color w:val="2F5496" w:themeColor="accent1" w:themeShade="BF"/>
    </w:rPr>
  </w:style>
  <w:style w:type="paragraph" w:styleId="Citationintense">
    <w:name w:val="Intense Quote"/>
    <w:basedOn w:val="Normal"/>
    <w:next w:val="Normal"/>
    <w:link w:val="CitationintenseCar"/>
    <w:uiPriority w:val="30"/>
    <w:qFormat/>
    <w:rsid w:val="004532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link w:val="Citationintense"/>
    <w:uiPriority w:val="30"/>
    <w:rsid w:val="49F3BFD2"/>
    <w:rPr>
      <w:i/>
      <w:iCs/>
      <w:color w:val="2F5496" w:themeColor="accent1" w:themeShade="BF"/>
    </w:rPr>
  </w:style>
  <w:style w:type="character" w:styleId="Rfrenceintense">
    <w:name w:val="Intense Reference"/>
    <w:uiPriority w:val="32"/>
    <w:qFormat/>
    <w:rsid w:val="49F3BFD2"/>
    <w:rPr>
      <w:b/>
      <w:bCs/>
      <w:smallCaps/>
      <w:color w:val="2F5496" w:themeColor="accent1" w:themeShade="BF"/>
    </w:rPr>
  </w:style>
  <w:style w:type="paragraph" w:styleId="En-tte">
    <w:name w:val="header"/>
    <w:basedOn w:val="Normal"/>
    <w:link w:val="En-tteCar"/>
    <w:uiPriority w:val="99"/>
    <w:unhideWhenUsed/>
    <w:rsid w:val="0045322B"/>
    <w:pPr>
      <w:tabs>
        <w:tab w:val="center" w:pos="4536"/>
        <w:tab w:val="right" w:pos="9072"/>
      </w:tabs>
      <w:spacing w:after="0" w:line="240" w:lineRule="auto"/>
    </w:pPr>
  </w:style>
  <w:style w:type="character" w:customStyle="1" w:styleId="En-tteCar">
    <w:name w:val="En-tête Car"/>
    <w:link w:val="En-tte"/>
    <w:uiPriority w:val="99"/>
    <w:rsid w:val="49F3BFD2"/>
  </w:style>
  <w:style w:type="paragraph" w:styleId="Pieddepage">
    <w:name w:val="footer"/>
    <w:basedOn w:val="Normal"/>
    <w:link w:val="PieddepageCar"/>
    <w:uiPriority w:val="99"/>
    <w:unhideWhenUsed/>
    <w:rsid w:val="0045322B"/>
    <w:pPr>
      <w:tabs>
        <w:tab w:val="center" w:pos="4536"/>
        <w:tab w:val="right" w:pos="9072"/>
      </w:tabs>
      <w:spacing w:after="0" w:line="240" w:lineRule="auto"/>
    </w:pPr>
  </w:style>
  <w:style w:type="character" w:customStyle="1" w:styleId="PieddepageCar">
    <w:name w:val="Pied de page Car"/>
    <w:link w:val="Pieddepage"/>
    <w:uiPriority w:val="99"/>
    <w:rsid w:val="49F3BFD2"/>
  </w:style>
  <w:style w:type="paragraph" w:customStyle="1" w:styleId="paragraph">
    <w:name w:val="paragraph"/>
    <w:basedOn w:val="Normal"/>
    <w:rsid w:val="0045322B"/>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normaltextrun">
    <w:name w:val="normaltextrun"/>
    <w:uiPriority w:val="1"/>
    <w:rsid w:val="49F3BFD2"/>
  </w:style>
  <w:style w:type="character" w:customStyle="1" w:styleId="eop">
    <w:name w:val="eop"/>
    <w:uiPriority w:val="1"/>
    <w:rsid w:val="49F3BFD2"/>
  </w:style>
  <w:style w:type="character" w:styleId="Lienhypertexte">
    <w:name w:val="Hyperlink"/>
    <w:uiPriority w:val="99"/>
    <w:unhideWhenUsed/>
    <w:rsid w:val="49F3BFD2"/>
    <w:rPr>
      <w:color w:val="467886"/>
      <w:u w:val="single"/>
    </w:rPr>
  </w:style>
  <w:style w:type="character" w:styleId="Mentionnonrsolue">
    <w:name w:val="Unresolved Mention"/>
    <w:uiPriority w:val="99"/>
    <w:semiHidden/>
    <w:unhideWhenUsed/>
    <w:rsid w:val="49F3BFD2"/>
    <w:rPr>
      <w:color w:val="605E5C"/>
    </w:rPr>
  </w:style>
  <w:style w:type="paragraph" w:styleId="En-ttedetabledesmatires">
    <w:name w:val="TOC Heading"/>
    <w:basedOn w:val="Titre1"/>
    <w:next w:val="Normal"/>
    <w:uiPriority w:val="39"/>
    <w:unhideWhenUsed/>
    <w:qFormat/>
    <w:rsid w:val="00561847"/>
    <w:pPr>
      <w:spacing w:before="240" w:after="0" w:line="259" w:lineRule="auto"/>
      <w:outlineLvl w:val="9"/>
    </w:pPr>
    <w:rPr>
      <w:b w:val="0"/>
      <w:color w:val="2F5496" w:themeColor="accent1" w:themeShade="BF"/>
      <w:kern w:val="0"/>
      <w:szCs w:val="32"/>
      <w:lang w:val="fr-FR" w:eastAsia="fr-FR"/>
      <w14:ligatures w14:val="none"/>
    </w:rPr>
  </w:style>
  <w:style w:type="paragraph" w:styleId="TM1">
    <w:name w:val="toc 1"/>
    <w:basedOn w:val="Normal"/>
    <w:next w:val="Normal"/>
    <w:autoRedefine/>
    <w:uiPriority w:val="39"/>
    <w:unhideWhenUsed/>
    <w:rsid w:val="00A94C11"/>
    <w:pPr>
      <w:numPr>
        <w:ilvl w:val="1"/>
        <w:numId w:val="18"/>
      </w:numPr>
      <w:tabs>
        <w:tab w:val="right" w:leader="dot" w:pos="9062"/>
      </w:tabs>
      <w:spacing w:after="100"/>
      <w:ind w:left="720"/>
      <w:jc w:val="both"/>
    </w:pPr>
    <w:rPr>
      <w:noProof/>
    </w:rPr>
  </w:style>
  <w:style w:type="paragraph" w:styleId="TM2">
    <w:name w:val="toc 2"/>
    <w:basedOn w:val="Normal"/>
    <w:next w:val="Normal"/>
    <w:autoRedefine/>
    <w:uiPriority w:val="39"/>
    <w:unhideWhenUsed/>
    <w:rsid w:val="00561847"/>
    <w:pPr>
      <w:spacing w:after="100"/>
      <w:ind w:left="240"/>
    </w:p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link w:val="Commentaire"/>
    <w:uiPriority w:val="99"/>
    <w:rsid w:val="49F3BFD2"/>
    <w:rPr>
      <w:sz w:val="20"/>
      <w:szCs w:val="20"/>
    </w:rPr>
  </w:style>
  <w:style w:type="character" w:styleId="Marquedecommentaire">
    <w:name w:val="annotation reference"/>
    <w:uiPriority w:val="99"/>
    <w:semiHidden/>
    <w:unhideWhenUsed/>
    <w:rsid w:val="49F3BFD2"/>
    <w:rPr>
      <w:sz w:val="16"/>
      <w:szCs w:val="16"/>
    </w:rPr>
  </w:style>
  <w:style w:type="paragraph" w:styleId="Objetducommentaire">
    <w:name w:val="annotation subject"/>
    <w:basedOn w:val="Commentaire"/>
    <w:next w:val="Commentaire"/>
    <w:link w:val="ObjetducommentaireCar"/>
    <w:uiPriority w:val="99"/>
    <w:semiHidden/>
    <w:unhideWhenUsed/>
    <w:rsid w:val="00335827"/>
    <w:rPr>
      <w:b/>
      <w:bCs/>
    </w:rPr>
  </w:style>
  <w:style w:type="character" w:customStyle="1" w:styleId="ObjetducommentaireCar">
    <w:name w:val="Objet du commentaire Car"/>
    <w:basedOn w:val="CommentaireCar"/>
    <w:link w:val="Objetducommentaire"/>
    <w:uiPriority w:val="99"/>
    <w:semiHidden/>
    <w:rsid w:val="00335827"/>
    <w:rPr>
      <w:b/>
      <w:bCs/>
      <w:sz w:val="20"/>
      <w:szCs w:val="20"/>
    </w:rPr>
  </w:style>
  <w:style w:type="paragraph" w:styleId="Rvision">
    <w:name w:val="Revision"/>
    <w:hidden/>
    <w:uiPriority w:val="99"/>
    <w:semiHidden/>
    <w:rsid w:val="002B07BF"/>
    <w:pPr>
      <w:spacing w:after="0" w:line="240" w:lineRule="auto"/>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auGrille4-Accentuation1">
    <w:name w:val="Grid Table 4 Accent 1"/>
    <w:basedOn w:val="Tableau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tedebasdepage">
    <w:name w:val="footnote text"/>
    <w:basedOn w:val="Normal"/>
    <w:uiPriority w:val="99"/>
    <w:semiHidden/>
    <w:unhideWhenUsed/>
    <w:rsid w:val="49F3BFD2"/>
    <w:pPr>
      <w:spacing w:after="0" w:line="240" w:lineRule="auto"/>
    </w:pPr>
    <w:rPr>
      <w:sz w:val="20"/>
      <w:szCs w:val="20"/>
    </w:rPr>
  </w:style>
  <w:style w:type="character" w:styleId="Appelnotedebasdep">
    <w:name w:val="footnote reference"/>
    <w:uiPriority w:val="99"/>
    <w:semiHidden/>
    <w:unhideWhenUsed/>
    <w:rsid w:val="49F3BF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te-azur.cci.fr/"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61965C-9181-41DF-845A-A0503C29604E}">
  <ds:schemaRefs>
    <ds:schemaRef ds:uri="http://schemas.openxmlformats.org/officeDocument/2006/bibliography"/>
  </ds:schemaRefs>
</ds:datastoreItem>
</file>

<file path=customXml/itemProps2.xml><?xml version="1.0" encoding="utf-8"?>
<ds:datastoreItem xmlns:ds="http://schemas.openxmlformats.org/officeDocument/2006/customXml" ds:itemID="{079424DC-2887-410A-81F1-C87A632ED910}"/>
</file>

<file path=customXml/itemProps3.xml><?xml version="1.0" encoding="utf-8"?>
<ds:datastoreItem xmlns:ds="http://schemas.openxmlformats.org/officeDocument/2006/customXml" ds:itemID="{3EDD92DA-6766-44A1-8F47-F55E53649723}"/>
</file>

<file path=customXml/itemProps4.xml><?xml version="1.0" encoding="utf-8"?>
<ds:datastoreItem xmlns:ds="http://schemas.openxmlformats.org/officeDocument/2006/customXml" ds:itemID="{2B71A7C4-675C-401B-829A-16979867F786}"/>
</file>

<file path=docProps/app.xml><?xml version="1.0" encoding="utf-8"?>
<Properties xmlns="http://schemas.openxmlformats.org/officeDocument/2006/extended-properties" xmlns:vt="http://schemas.openxmlformats.org/officeDocument/2006/docPropsVTypes">
  <Template>Normal.dotm</Template>
  <TotalTime>59</TotalTime>
  <Pages>12</Pages>
  <Words>3191</Words>
  <Characters>18350</Characters>
  <Application>Microsoft Office Word</Application>
  <DocSecurity>0</DocSecurity>
  <Lines>417</Lines>
  <Paragraphs>215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Quilici Pascal</dc:creator>
  <cp:keywords/>
  <dc:description/>
  <cp:lastModifiedBy>TURIN Delphine</cp:lastModifiedBy>
  <cp:revision>27</cp:revision>
  <dcterms:created xsi:type="dcterms:W3CDTF">2026-04-30T14:24:00Z</dcterms:created>
  <dcterms:modified xsi:type="dcterms:W3CDTF">2026-05-05T09:02:00Z</dcterms:modified>
</cp:coreProperties>
</file>